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2A8" w:rsidRDefault="00555858">
      <w:pPr>
        <w:pStyle w:val="Title1"/>
      </w:pPr>
      <w:r>
        <w:t>A prospective cohort study of depression in pregnancy, prevalence and risk factors in a multi-ethnic population</w:t>
      </w:r>
    </w:p>
    <w:p w:rsidR="00ED12A8" w:rsidRDefault="00555858">
      <w:pPr>
        <w:pStyle w:val="NormalWeb"/>
        <w:divId w:val="1603344499"/>
      </w:pPr>
      <w:proofErr w:type="spellStart"/>
      <w:r>
        <w:t>Nilam</w:t>
      </w:r>
      <w:proofErr w:type="spellEnd"/>
      <w:r>
        <w:t xml:space="preserve"> </w:t>
      </w:r>
      <w:proofErr w:type="spellStart"/>
      <w:r>
        <w:t>Shakeel</w:t>
      </w:r>
      <w:proofErr w:type="spellEnd"/>
      <w:r>
        <w:rPr>
          <w:vertAlign w:val="superscript"/>
        </w:rPr>
        <w:t>*</w:t>
      </w:r>
      <w:r>
        <w:br/>
      </w:r>
      <w:r>
        <w:rPr>
          <w:vertAlign w:val="superscript"/>
        </w:rPr>
        <w:t>*</w:t>
      </w:r>
      <w:r>
        <w:t xml:space="preserve"> Corresponding author</w:t>
      </w:r>
      <w:r>
        <w:br/>
        <w:t>Email: nilam.shakeel@medisin.uio.no</w:t>
      </w:r>
    </w:p>
    <w:p w:rsidR="00ED12A8" w:rsidRPr="00806E03" w:rsidRDefault="00555858">
      <w:pPr>
        <w:pStyle w:val="NormalWeb"/>
        <w:divId w:val="1603344499"/>
        <w:rPr>
          <w:lang w:val="de-DE"/>
        </w:rPr>
      </w:pPr>
      <w:r w:rsidRPr="00806E03">
        <w:rPr>
          <w:lang w:val="de-DE"/>
        </w:rPr>
        <w:t>Malin Eberhard-Gran</w:t>
      </w:r>
      <w:r w:rsidRPr="00806E03">
        <w:rPr>
          <w:lang w:val="de-DE"/>
        </w:rPr>
        <w:br/>
        <w:t>Email: malin.eberhard-gran@fhi.no</w:t>
      </w:r>
    </w:p>
    <w:p w:rsidR="00ED12A8" w:rsidRDefault="00555858">
      <w:pPr>
        <w:pStyle w:val="NormalWeb"/>
        <w:divId w:val="1603344499"/>
      </w:pPr>
      <w:r>
        <w:t>Line Sletner</w:t>
      </w:r>
      <w:r>
        <w:br/>
        <w:t>Email: line.sletner@medisin.uio.no</w:t>
      </w:r>
    </w:p>
    <w:p w:rsidR="00ED12A8" w:rsidRDefault="00555858">
      <w:pPr>
        <w:pStyle w:val="NormalWeb"/>
        <w:divId w:val="1603344499"/>
      </w:pPr>
      <w:r>
        <w:t>Kari Slinning</w:t>
      </w:r>
      <w:r>
        <w:br/>
        <w:t>Email: kari.slinning@icloud.com</w:t>
      </w:r>
    </w:p>
    <w:p w:rsidR="00ED12A8" w:rsidRDefault="00555858">
      <w:pPr>
        <w:pStyle w:val="NormalWeb"/>
        <w:divId w:val="1603344499"/>
      </w:pPr>
      <w:r>
        <w:t>Egil W Martinsen</w:t>
      </w:r>
      <w:r>
        <w:br/>
        <w:t>Email: e.w.martinsen@medisin.uio.no</w:t>
      </w:r>
    </w:p>
    <w:p w:rsidR="00ED12A8" w:rsidRDefault="00555858">
      <w:pPr>
        <w:pStyle w:val="NormalWeb"/>
        <w:divId w:val="1603344499"/>
      </w:pPr>
      <w:r>
        <w:t>Ingar Holme</w:t>
      </w:r>
      <w:r>
        <w:br/>
        <w:t>Email: ingar.holme@nih.no</w:t>
      </w:r>
    </w:p>
    <w:p w:rsidR="00ED12A8" w:rsidRDefault="00555858">
      <w:pPr>
        <w:pStyle w:val="NormalWeb"/>
        <w:divId w:val="1603344499"/>
      </w:pPr>
      <w:r>
        <w:t>Anne Karen Jenum</w:t>
      </w:r>
      <w:r>
        <w:br/>
        <w:t>Email: a.k.jenum@medisin.uio.no</w:t>
      </w:r>
    </w:p>
    <w:p w:rsidR="00ED12A8" w:rsidRDefault="00555858">
      <w:pPr>
        <w:pStyle w:val="h1"/>
        <w:divId w:val="2140761907"/>
      </w:pPr>
      <w:r>
        <w:t>Abstract</w:t>
      </w:r>
    </w:p>
    <w:p w:rsidR="00ED12A8" w:rsidRDefault="00555858">
      <w:pPr>
        <w:pStyle w:val="h2"/>
        <w:divId w:val="2140761907"/>
      </w:pPr>
      <w:r>
        <w:t>Background</w:t>
      </w:r>
    </w:p>
    <w:p w:rsidR="00ED12A8" w:rsidRDefault="00555858">
      <w:pPr>
        <w:pStyle w:val="NormalWeb"/>
        <w:jc w:val="both"/>
        <w:divId w:val="2140761907"/>
      </w:pPr>
      <w:r>
        <w:t>Depression in pregnancy increases the risk of complications for mother and child. Few studies are done in ethnic minorities. We wanted to identify the prevalence of depression in pregnancy and associations with ethnicity and other risk factors.</w:t>
      </w:r>
    </w:p>
    <w:p w:rsidR="00ED12A8" w:rsidRDefault="00555858">
      <w:pPr>
        <w:pStyle w:val="h2"/>
        <w:divId w:val="2140761907"/>
      </w:pPr>
      <w:r>
        <w:t>Method</w:t>
      </w:r>
    </w:p>
    <w:p w:rsidR="00ED12A8" w:rsidRDefault="00555858">
      <w:pPr>
        <w:pStyle w:val="NormalWeb"/>
        <w:jc w:val="both"/>
        <w:divId w:val="2140761907"/>
      </w:pPr>
      <w:r>
        <w:t>Population-based, prospective cohort of 749 pregnant women (59% ethnic minorities) attending primary antenatal care during early pregnancy in Oslo between 2008 and 2010. Questionnaires covering demographics, health problems and psychosocial factors were collected through interviews. Depression in pregnancy was defined as a sum score ≥ 10 by the Edinburgh Postnatal Depression Scale (EPDS) at gestational week 28.</w:t>
      </w:r>
    </w:p>
    <w:p w:rsidR="00ED12A8" w:rsidRDefault="00555858">
      <w:pPr>
        <w:pStyle w:val="h2"/>
        <w:divId w:val="2140761907"/>
      </w:pPr>
      <w:r>
        <w:t>Results</w:t>
      </w:r>
    </w:p>
    <w:p w:rsidR="00ED12A8" w:rsidRDefault="00555858">
      <w:pPr>
        <w:pStyle w:val="NormalWeb"/>
        <w:jc w:val="both"/>
        <w:divId w:val="2140761907"/>
      </w:pPr>
      <w:r>
        <w:t xml:space="preserve">The crude prevalence of depression was; Western Europeans: 8.6% (95% CI: 5.45-11.75), Middle Easterners: 19.5% (12.19-26.81), South Asians: 17.5 % (12.08-22.92), and other </w:t>
      </w:r>
      <w:r>
        <w:lastRenderedPageBreak/>
        <w:t>groups: 11.3% (6.09-16.51). Median EPDS score was 6 in Middle Easterners and 3 in all other groups.</w:t>
      </w:r>
    </w:p>
    <w:p w:rsidR="00ED12A8" w:rsidRDefault="00555858">
      <w:pPr>
        <w:pStyle w:val="NormalWeb"/>
        <w:jc w:val="both"/>
        <w:divId w:val="2140761907"/>
      </w:pPr>
      <w:r>
        <w:t>Middle Easterners (OR = 2.81; 95% CI (1.29-6.15)) and South Asians (2.72 (1.35-5.48)) had significantly higher risk for depression than other minorities and Western Europeans in logistic regression models. When adjusting for socioeconomic position and family structure, the ORs were reduced by 16-18% (OR = 2.44 (1.07-5.57) and 2.25 (1.07-4.72). Other significant risk factors were the number of recent adverse life events, self-reported history of depression and poor subjective health three months before conception.</w:t>
      </w:r>
    </w:p>
    <w:p w:rsidR="00ED12A8" w:rsidRDefault="00555858">
      <w:pPr>
        <w:pStyle w:val="h2"/>
        <w:divId w:val="2140761907"/>
      </w:pPr>
      <w:r>
        <w:t>Conclusion</w:t>
      </w:r>
    </w:p>
    <w:p w:rsidR="00ED12A8" w:rsidRDefault="00555858">
      <w:pPr>
        <w:pStyle w:val="NormalWeb"/>
        <w:jc w:val="both"/>
        <w:divId w:val="2140761907"/>
      </w:pPr>
      <w:r>
        <w:t>The prevalence of depression in pregnancy was higher in ethnic minorities from the Middle East and South Asia. The increased risk persisted after adjustment for risk factors.</w:t>
      </w:r>
    </w:p>
    <w:p w:rsidR="00ED12A8" w:rsidRDefault="00555858">
      <w:pPr>
        <w:pStyle w:val="h1"/>
      </w:pPr>
      <w:r>
        <w:t>Keywords</w:t>
      </w:r>
    </w:p>
    <w:p w:rsidR="00ED12A8" w:rsidRDefault="00555858">
      <w:pPr>
        <w:pStyle w:val="NormalWeb"/>
      </w:pPr>
      <w:r>
        <w:t>Depression, Mental health, Risk factors, EPDS, Pregnancy, Ethnic groups</w:t>
      </w:r>
    </w:p>
    <w:p w:rsidR="00ED12A8" w:rsidRDefault="00555858">
      <w:pPr>
        <w:pStyle w:val="h1"/>
      </w:pPr>
      <w:r>
        <w:t>Background</w:t>
      </w:r>
    </w:p>
    <w:p w:rsidR="00ED12A8" w:rsidRDefault="00555858">
      <w:pPr>
        <w:pStyle w:val="NormalWeb"/>
        <w:jc w:val="both"/>
      </w:pPr>
      <w:r>
        <w:t xml:space="preserve">Depression in pregnancy shares a similar symptom profile as depression occurring in other contexts, involving changes in appetite, feelings of guilt and low energy [1]. It may also disrupt the </w:t>
      </w:r>
      <w:proofErr w:type="spellStart"/>
      <w:r>
        <w:t>foetal</w:t>
      </w:r>
      <w:proofErr w:type="spellEnd"/>
      <w:r>
        <w:t xml:space="preserve"> developmental process [2] and increase the risk of adverse health outcomes for the mother and </w:t>
      </w:r>
      <w:proofErr w:type="spellStart"/>
      <w:r>
        <w:t>foetus</w:t>
      </w:r>
      <w:proofErr w:type="spellEnd"/>
      <w:r>
        <w:t xml:space="preserve"> such as preeclampsia and preterm birth [3]. Substance and alcohol abuse and cigarette smoking are associated with depression, and may further increase the risk of pregnancy complications [4</w:t>
      </w:r>
      <w:proofErr w:type="gramStart"/>
      <w:r>
        <w:t>,5</w:t>
      </w:r>
      <w:proofErr w:type="gramEnd"/>
      <w:r>
        <w:t>]. The strongest risk factors appear to be a history of anxiety and depression [6</w:t>
      </w:r>
      <w:proofErr w:type="gramStart"/>
      <w:r>
        <w:t>,7</w:t>
      </w:r>
      <w:proofErr w:type="gramEnd"/>
      <w:r>
        <w:t xml:space="preserve">], adverse life events [8] and lack of support, from the partner and others [3]. Depression in pregnancy may persist into the postpartum period [9] and disrupt the parenting </w:t>
      </w:r>
      <w:proofErr w:type="spellStart"/>
      <w:r>
        <w:t>behaviour</w:t>
      </w:r>
      <w:proofErr w:type="spellEnd"/>
      <w:r>
        <w:t>, the attachment process between the mother and baby, as well as the relationship with the partner and any other children [10]. Although studies from pregnancy are few, they indicate that depression during pregnancy is as prevalent as during the postpartum period [11].</w:t>
      </w:r>
    </w:p>
    <w:p w:rsidR="00ED12A8" w:rsidRDefault="00555858">
      <w:pPr>
        <w:pStyle w:val="NormalWeb"/>
        <w:jc w:val="both"/>
      </w:pPr>
      <w:r>
        <w:t>Ethnic minorities in Western countries are often exposed to stressors both before and during migration and after resettlement, such as lack of social integration, language problems, exposure to racism, unhealthy nutrition and poor housing conditions. These factors may adversely affect their mental health [12</w:t>
      </w:r>
      <w:proofErr w:type="gramStart"/>
      <w:r>
        <w:t>,13</w:t>
      </w:r>
      <w:proofErr w:type="gramEnd"/>
      <w:r>
        <w:t xml:space="preserve">], placing ethnic minorities at higher risk for the development of postpartum depression [14]. Another aspect is the potential tension that immigrants from some countries with cultures more dominated by collective values may experience when exposed to the more individualistic Western societies. When there is a congruency between own preferences and those in the area of residence, living in </w:t>
      </w:r>
      <w:proofErr w:type="spellStart"/>
      <w:r>
        <w:t>neighbourhoods</w:t>
      </w:r>
      <w:proofErr w:type="spellEnd"/>
      <w:r>
        <w:t xml:space="preserve"> with many others from the same culture may be protective compared to living relatively alone in an affluent districts [15,16]. However, for an immigrant who does not share the collective values of his or her group, living among more traditionally oriented family members or </w:t>
      </w:r>
      <w:proofErr w:type="spellStart"/>
      <w:r>
        <w:t>neighbours</w:t>
      </w:r>
      <w:proofErr w:type="spellEnd"/>
      <w:r>
        <w:t xml:space="preserve"> may represent an extra burden due to social control mechanisms. Further, the care of women during pregnancy and postpartum differ in Europe compared to Asia and Africa [17]. Not living close to their extended family, and not having access to the type of care they are used to in their home countries can be distressing and </w:t>
      </w:r>
      <w:r>
        <w:lastRenderedPageBreak/>
        <w:t>negatively affect their mental health. However, little is known about depressive symptoms and risk factors for depression in pregnancy for ethnic minority groups living in Western societies [18-24].</w:t>
      </w:r>
    </w:p>
    <w:p w:rsidR="00ED12A8" w:rsidRDefault="00555858">
      <w:pPr>
        <w:pStyle w:val="NormalWeb"/>
        <w:jc w:val="both"/>
      </w:pPr>
      <w:r>
        <w:t>Hence, the primary aim of this study was to determine the prevalence of depression in pregnancy and its associations with ethnicity and other risk factors. In addition, for immigrant groups we aimed to assess the importance of factors related to the level of social integration into the Norwegian mainstream society.</w:t>
      </w:r>
    </w:p>
    <w:p w:rsidR="00ED12A8" w:rsidRDefault="00555858">
      <w:pPr>
        <w:pStyle w:val="h1"/>
      </w:pPr>
      <w:r>
        <w:t>Methods</w:t>
      </w:r>
    </w:p>
    <w:p w:rsidR="00ED12A8" w:rsidRDefault="00555858">
      <w:pPr>
        <w:pStyle w:val="h2"/>
      </w:pPr>
      <w:r>
        <w:t>Design, study population and setting</w:t>
      </w:r>
    </w:p>
    <w:p w:rsidR="00ED12A8" w:rsidRDefault="00555858">
      <w:pPr>
        <w:pStyle w:val="NormalWeb"/>
        <w:jc w:val="both"/>
      </w:pPr>
      <w:r>
        <w:t xml:space="preserve">This study is part of the STORK </w:t>
      </w:r>
      <w:proofErr w:type="spellStart"/>
      <w:r>
        <w:t>Groruddalen</w:t>
      </w:r>
      <w:proofErr w:type="spellEnd"/>
      <w:r>
        <w:t xml:space="preserve"> Research Program, with the primary goal to reduce short and long-term health risks for mothers and offspring by initiating knowledge-based and culturally-sensitive interventions among pregnant women and their families. Data are drawn from a population-based, prospective cohort of 823 healthy pregnant women attending the Child Health Clinics (CHC) for antenatal care in three administrative districts in </w:t>
      </w:r>
      <w:proofErr w:type="spellStart"/>
      <w:r>
        <w:t>Groruddalen</w:t>
      </w:r>
      <w:proofErr w:type="spellEnd"/>
      <w:r>
        <w:t xml:space="preserve">, Oslo, covering a population of 82 500, between 2008 and 2010 [25]. </w:t>
      </w:r>
      <w:proofErr w:type="spellStart"/>
      <w:r>
        <w:t>Groruddalen</w:t>
      </w:r>
      <w:proofErr w:type="spellEnd"/>
      <w:r>
        <w:t xml:space="preserve"> was chosen as it covers affluent as well as more deprived residential areas, has a population with a diverse socioeconomic status and a high proportion of ethnic minorities. The majority (75-85 %) of pregnant women residing in this area attend the CHC for antenatal care [25]. Antenatal care of normal pregnancies in Norway is carried out in primary care, either at the public CHC alone, in combination with the general practitioner (GP), or by the GP alone. All information material and questionnaires were translated to Arabic, English, Sorani, Somali, Tamil, </w:t>
      </w:r>
      <w:proofErr w:type="gramStart"/>
      <w:r>
        <w:t>Turkish</w:t>
      </w:r>
      <w:proofErr w:type="gramEnd"/>
      <w:r>
        <w:t>, Urdu and Vietnamese and quality controlled by bilingual health professionals. The participation rate was 74% (range 64-83% among ethnic groups), and the participating women were found representative of all pregnant women attending the CHCs [25</w:t>
      </w:r>
      <w:proofErr w:type="gramStart"/>
      <w:r>
        <w:t>,26</w:t>
      </w:r>
      <w:proofErr w:type="gramEnd"/>
      <w:r>
        <w:t>]. Women were eligible if they: 1) lived in the study districts; 2) planned to give birth at one of two study hospitals; 3) were at &lt;20 weeks of gestation at inclusion; 4) could communicate in Norwegian or any of the other eight specified languages; and 5) were able to give written consent.</w:t>
      </w:r>
    </w:p>
    <w:p w:rsidR="00ED12A8" w:rsidRDefault="00555858">
      <w:pPr>
        <w:pStyle w:val="NormalWeb"/>
        <w:jc w:val="both"/>
      </w:pPr>
      <w:r>
        <w:t xml:space="preserve">Women with diseases necessitating intensive hospital follow-up during pregnancy were excluded. Data were collected at study inclusion (mean gestational week (GW): 15.1 (SD: 3.4)), at GW 28 (mean GW: 28.3 (1.3)) and in the postpartum period </w:t>
      </w:r>
      <w:r>
        <w:rPr>
          <w:rStyle w:val="italic"/>
        </w:rPr>
        <w:t>(mean number of weeks postpartum: 14.3. (2.8))</w:t>
      </w:r>
      <w:r>
        <w:t xml:space="preserve">. The STORK </w:t>
      </w:r>
      <w:proofErr w:type="spellStart"/>
      <w:r>
        <w:t>Groruddalen</w:t>
      </w:r>
      <w:proofErr w:type="spellEnd"/>
      <w:r>
        <w:t xml:space="preserve"> project has been described in detail previously [25</w:t>
      </w:r>
      <w:proofErr w:type="gramStart"/>
      <w:r>
        <w:t>,26</w:t>
      </w:r>
      <w:proofErr w:type="gramEnd"/>
      <w:r>
        <w:t>]. In short, questionnaire data covering demographics, health issues and psychosocial factors were collected through interviews by midwives at all three visits, assisted by professional translators when needed. Staff members were certified after extensive training to ensure standardized data collection procedures.</w:t>
      </w:r>
    </w:p>
    <w:p w:rsidR="00ED12A8" w:rsidRDefault="00555858">
      <w:pPr>
        <w:pStyle w:val="NormalWeb"/>
        <w:jc w:val="both"/>
      </w:pPr>
      <w:r>
        <w:t>The study was approved by The Regional Ethics Committee South-East and the Norwegian Data Inspectorate, (reference number: 2007.894). All participants gave their written informed consent prior to their inclusion in the study.</w:t>
      </w:r>
    </w:p>
    <w:p w:rsidR="00ED12A8" w:rsidRDefault="00555858">
      <w:pPr>
        <w:pStyle w:val="h2"/>
      </w:pPr>
      <w:r>
        <w:lastRenderedPageBreak/>
        <w:t>Primary outcome variable – depression in pregnancy</w:t>
      </w:r>
    </w:p>
    <w:p w:rsidR="00ED12A8" w:rsidRDefault="00555858">
      <w:pPr>
        <w:pStyle w:val="NormalWeb"/>
        <w:jc w:val="both"/>
      </w:pPr>
      <w:r>
        <w:t>We used The Edinburgh Postnatal Depression Scale (EPDS) [27], a 10-item, self-rating scale, originally designed to identify women at risk for postpartum depression, but also later used for depression in pregnancy [28,29]. The EPDS has previously been thoroughly validated for use in postnatal, non-postnatal [30] as well as in pregnant women [31-34]. This measure is now the most frequently used screening instrument in epidemiological studies related to depression in pregnancy and postpartum [35]. The EPDS sum score ranges from 0 to 30 points, with higher score indicating more symptoms. This instrument has been found to have good sensitivity and specificity when tested against other assessment methods [36]. High test-retest reliability (0.81) has also been demonstrated in other pregnant populations [31]. The EPDS has previously been used for pregnant women in numerous Norwegian studies [11</w:t>
      </w:r>
      <w:proofErr w:type="gramStart"/>
      <w:r>
        <w:t>,37</w:t>
      </w:r>
      <w:proofErr w:type="gramEnd"/>
      <w:r>
        <w:t>-45].</w:t>
      </w:r>
    </w:p>
    <w:p w:rsidR="00ED12A8" w:rsidRDefault="00555858">
      <w:pPr>
        <w:pStyle w:val="NormalWeb"/>
        <w:jc w:val="both"/>
      </w:pPr>
      <w:r>
        <w:t>We used the validated Norwegian translation, which has satisfactory psychometric properties among postnatal Norwegian women, with satisfactory measures of reliability, including a Cronbach’s alpha of 0.81 and a test-retest correlation of 0.74 [36,46], and the official translations of seven other languages (Arabic, English, Somali, Tamil, Turkish, Urdu and Vietnamese) at the visit in GW 28 [27,47]. The Sorani version was translated by the City Services Department, The Interpreting Service in Oslo, and quality-checked for clarity and content validity by bilingual health professionals. In accordance with most epidemiological studies, we used the proportion scoring above a cut-off EPDS score ≥10 as a proxy measure for depression [48], both when referring to the prevalence data and in the subsequent logistic regression analyses. We also performed supplementary sensitivity analyses based upon an EPDS total score ≥ 12.</w:t>
      </w:r>
    </w:p>
    <w:p w:rsidR="00ED12A8" w:rsidRDefault="00555858">
      <w:pPr>
        <w:pStyle w:val="h2"/>
      </w:pPr>
      <w:r>
        <w:t>Exposure variables</w:t>
      </w:r>
    </w:p>
    <w:p w:rsidR="00ED12A8" w:rsidRDefault="00555858">
      <w:pPr>
        <w:pStyle w:val="h3"/>
      </w:pPr>
      <w:r>
        <w:t>Ethnicity</w:t>
      </w:r>
    </w:p>
    <w:p w:rsidR="00ED12A8" w:rsidRDefault="00555858">
      <w:pPr>
        <w:pStyle w:val="NormalWeb"/>
        <w:jc w:val="both"/>
      </w:pPr>
      <w:r>
        <w:t>Ethnicity was considered as our main exposure variable, and was defined according to each participant’s country of birth or the participant’s mother’s country of birth if the participant’s mother was born outside of Europe or North America [26]. The Western European group comprised participants born in Norway (93%), Sweden, Denmark, other Western European countries and North America. Women with origin from Eastern Europe, Africa, Asia, South - and Central America are referred to as ethnic minorities, further categorized as Middle Easterners (mainly from Iraq, Iran and Turkey), South Asians (mainly from Pakistan and Sri Lanka), and others (from Eastern Europe, Africa South of Sahara, East Asia and South and Central America) [26].</w:t>
      </w:r>
    </w:p>
    <w:p w:rsidR="00ED12A8" w:rsidRDefault="00555858">
      <w:pPr>
        <w:pStyle w:val="h3"/>
      </w:pPr>
      <w:r>
        <w:t>Adverse life events</w:t>
      </w:r>
    </w:p>
    <w:p w:rsidR="00ED12A8" w:rsidRDefault="00555858">
      <w:pPr>
        <w:pStyle w:val="NormalWeb"/>
        <w:jc w:val="both"/>
      </w:pPr>
      <w:r>
        <w:t>Seven questions assessed stressful life events: 1) serious illness or injury (self), 2) serious illness or injury of close family member, 3) death of close family members, 4) divorce or separation from a long-term relationship, 5) unemployment or serious problems finding a job, 6) major concerns for children and 7) any other major event not already covered, like serious financial problems, difficulties at work, serious conflict etc. Response options were “</w:t>
      </w:r>
      <w:r>
        <w:rPr>
          <w:rStyle w:val="italic"/>
        </w:rPr>
        <w:t>yes”</w:t>
      </w:r>
      <w:r>
        <w:t xml:space="preserve"> or “</w:t>
      </w:r>
      <w:r>
        <w:rPr>
          <w:rStyle w:val="italic"/>
        </w:rPr>
        <w:t>no</w:t>
      </w:r>
      <w:r>
        <w:t xml:space="preserve">”. Women reported adverse life events at inclusion, covering any event occurring during the past six months, and at GW 28, covering events after inclusion. First, the number of </w:t>
      </w:r>
      <w:r>
        <w:lastRenderedPageBreak/>
        <w:t>events for each time period was calculated, and then combined to a single variable to reflect the total number of events from six months prior to the study inclusion up to GW 28. This variable was recoded as 0-1 event (reference), 2 events or ≥ 3events, driven by the distribution of data.</w:t>
      </w:r>
    </w:p>
    <w:p w:rsidR="00ED12A8" w:rsidRDefault="00555858">
      <w:pPr>
        <w:pStyle w:val="h3"/>
      </w:pPr>
      <w:r>
        <w:t>Subjective health</w:t>
      </w:r>
    </w:p>
    <w:p w:rsidR="00ED12A8" w:rsidRDefault="00555858">
      <w:pPr>
        <w:pStyle w:val="NormalWeb"/>
        <w:jc w:val="both"/>
      </w:pPr>
      <w:r>
        <w:t xml:space="preserve">At inclusion, women were asked to self-report their subjective health during the last three months before pregnancy. The response categories were </w:t>
      </w:r>
      <w:r>
        <w:rPr>
          <w:rStyle w:val="italic"/>
        </w:rPr>
        <w:t>“bad”, “not that good”, “good</w:t>
      </w:r>
      <w:r>
        <w:t>” and “</w:t>
      </w:r>
      <w:r>
        <w:rPr>
          <w:rStyle w:val="italic"/>
        </w:rPr>
        <w:t>very good</w:t>
      </w:r>
      <w:r>
        <w:t>” [26], and responses were further dichotomized as “</w:t>
      </w:r>
      <w:r>
        <w:rPr>
          <w:rStyle w:val="italic"/>
        </w:rPr>
        <w:t>bad”</w:t>
      </w:r>
      <w:r>
        <w:t xml:space="preserve"> or “</w:t>
      </w:r>
      <w:r>
        <w:rPr>
          <w:rStyle w:val="italic"/>
        </w:rPr>
        <w:t>good”</w:t>
      </w:r>
      <w:r>
        <w:t>.</w:t>
      </w:r>
    </w:p>
    <w:p w:rsidR="00ED12A8" w:rsidRDefault="00555858">
      <w:pPr>
        <w:pStyle w:val="h3"/>
      </w:pPr>
      <w:r>
        <w:t>History of depression</w:t>
      </w:r>
    </w:p>
    <w:p w:rsidR="00ED12A8" w:rsidRDefault="00555858">
      <w:pPr>
        <w:pStyle w:val="NormalWeb"/>
        <w:jc w:val="both"/>
      </w:pPr>
      <w:r>
        <w:t>We used the lifetime major depression scale based on the DSM-IV criteria to assess history of depression [49]. This scale consists of five questions concerning sadness, appetite changes, and lack of energy, self-blame and concentration problems, with the response categories “</w:t>
      </w:r>
      <w:r>
        <w:rPr>
          <w:rStyle w:val="italic"/>
        </w:rPr>
        <w:t>yes”</w:t>
      </w:r>
      <w:r>
        <w:t xml:space="preserve"> or “</w:t>
      </w:r>
      <w:r>
        <w:rPr>
          <w:rStyle w:val="italic"/>
        </w:rPr>
        <w:t>no”.</w:t>
      </w:r>
      <w:r>
        <w:t xml:space="preserve"> Prior depression was defined as having had at least three simultaneously co-occurring symptoms with duration of at least two weeks. This information was collected at the postpartum visit, as it was recognized as an important risk factor for postpartum depression. Although the number of participants was somewhat lower at postpartum (N = 662), this variable was included due to its relevance for the outcome.</w:t>
      </w:r>
    </w:p>
    <w:p w:rsidR="00ED12A8" w:rsidRDefault="00555858">
      <w:pPr>
        <w:pStyle w:val="h3"/>
      </w:pPr>
      <w:r>
        <w:t>Other variables</w:t>
      </w:r>
    </w:p>
    <w:p w:rsidR="00ED12A8" w:rsidRDefault="00555858">
      <w:pPr>
        <w:pStyle w:val="NormalWeb"/>
        <w:jc w:val="both"/>
      </w:pPr>
      <w:r>
        <w:t>Age, GW at inclusion, parity, level of education and occupational status were regarded as possible cofactors/confounding factors. Single parenthood (living without a partner) was treated as a potential risk factor (lack of emotional and practical support). Information about family structure (three generational households – living with own parents or parents-in-law) were also available. Maternal individual and household socioeconomic factors used in the analyses were maternal educational level, pre-pregnancy employment status, household crowding (persons per room) and housing tenure (owning vs. renting). We also explored factors related to the level of social integration for immigrant groups into the Norwegian mainstream society, here represented by variables reflecting language skills (three different questions), time of residency, social interaction with ethnic Norwegians and use of Norwegian media. Ethnic Norwegian participants were not asked these questions but were automatically given the highest value for these variables.</w:t>
      </w:r>
    </w:p>
    <w:p w:rsidR="00ED12A8" w:rsidRDefault="00555858">
      <w:pPr>
        <w:pStyle w:val="h2"/>
      </w:pPr>
      <w:r>
        <w:t>Study sample</w:t>
      </w:r>
    </w:p>
    <w:p w:rsidR="00ED12A8" w:rsidRDefault="00555858">
      <w:pPr>
        <w:pStyle w:val="NormalWeb"/>
        <w:jc w:val="both"/>
      </w:pPr>
      <w:r>
        <w:t>From the total cohort of 823 women included in the study, 772 attended the follow-up at GW 28. 739 women had complete valid scores for all EPDS items at week 28. An additional 10 women had ≤ 3 missing items, for which mean values were imputed leaving a study sample of 749 women (Figure 1).</w:t>
      </w:r>
    </w:p>
    <w:p w:rsidR="00ED12A8" w:rsidRDefault="00555858">
      <w:pPr>
        <w:pStyle w:val="float"/>
        <w:pBdr>
          <w:top w:val="single" w:sz="6" w:space="0" w:color="auto"/>
          <w:bottom w:val="single" w:sz="6" w:space="0" w:color="auto"/>
        </w:pBdr>
      </w:pPr>
      <w:r>
        <w:rPr>
          <w:rStyle w:val="Caption1"/>
          <w:b/>
          <w:bCs/>
        </w:rPr>
        <w:t>Figure 1</w:t>
      </w:r>
      <w:r>
        <w:rPr>
          <w:rStyle w:val="Caption1"/>
        </w:rPr>
        <w:t xml:space="preserve"> </w:t>
      </w:r>
      <w:r>
        <w:rPr>
          <w:rStyle w:val="bold"/>
        </w:rPr>
        <w:t>Flowchart of study sample selection.</w:t>
      </w:r>
    </w:p>
    <w:p w:rsidR="00ED12A8" w:rsidRDefault="00555858">
      <w:pPr>
        <w:pStyle w:val="h2"/>
      </w:pPr>
      <w:r>
        <w:lastRenderedPageBreak/>
        <w:t>Statistical methods</w:t>
      </w:r>
    </w:p>
    <w:p w:rsidR="00ED12A8" w:rsidRDefault="00555858">
      <w:pPr>
        <w:pStyle w:val="NormalWeb"/>
        <w:jc w:val="both"/>
      </w:pPr>
      <w:r>
        <w:t>Descriptive statistics are provided as mean (SD), median (interquartile range; IQR) and frequency (%) as appropriate. To compare groups, chi-square tests were used for categorical data and T-tests or Mann-Whitney U for continuous variables as appropriate, depending on their distribution.</w:t>
      </w:r>
    </w:p>
    <w:p w:rsidR="00ED12A8" w:rsidRDefault="00555858">
      <w:pPr>
        <w:pStyle w:val="NormalWeb"/>
        <w:jc w:val="both"/>
      </w:pPr>
      <w:r>
        <w:t>Most variables reflecting socioeconomic position (SEP) and level of integration are strongly correlated and interact with each other. However, they clearly represent different dimensions of societal and contextual factors. We therefore aimed at reducing dimensionality by extracting the smallest number of components that accounted for most of the variation in the original multivariate data. To achieve this goal, all individual and household markers of maternal SEP and variables related to the level of integration were entered into a principal components analysis (PCA) [50]. Two components were extracted. The first component was highly correlated with the predefined markers of the level of integration and was skewed to the right, reflecting that the ethnic Norwegians all had high scores. The second component had high correlations with the predefined individual and household markers of SEP. This score was normally distributed. Maternal occupational class was equally correlated with both components. Single parenthood was not correlated with other markers of SEP or the level of integration and was therefore not included in the PCA. The PCA scores were further dichotomized, into the 40% with the lowest scores versus the 60% with highest scores for SEP and level of integration, as the score values may be difficult to interpret directly from the tables. We examined different cut-off values (20/80 and also three categories with different cut-off values), but found that the pragmatic 40/60 cut point had a sufficient number in the lowest category, and still carried important information. We used both the PCA scores and the individual components in the analyses.</w:t>
      </w:r>
    </w:p>
    <w:p w:rsidR="00ED12A8" w:rsidRDefault="00555858">
      <w:pPr>
        <w:pStyle w:val="NormalWeb"/>
        <w:jc w:val="both"/>
      </w:pPr>
      <w:r>
        <w:t>Using univariate and multiple logistic regression analyses, a directed acyclic graph was drawn and an etiological approach was chosen to assess the association between the explanatory factors and depression in pregnancy. In a timeline, ethnic origin was considered as a point of departure, followed by SEP and then depression before pregnancy. Single parenthood, subjective health prior to pregnancy and the sum score of recent adverse life events were considered as risk factors, whereas age, parity and the pregnancy stage (gestational week at inclusion) were included as potential confounders. Level of social integration was considered as an intermediate factor. Our primary research question was whether depression was associated with ethnic origin. The second question was whether the level of social integration was associated with depression in ethnic minority women. To address these aims, univariate and multiple logistic regression analyses were performed with depression (EPDS score ≥10; yes/no) as the dependent variable. Two models were fitted to address the primary research question. Model 1 used ethnicity as the main independent (exposure) variable and the covariates included gestational week at inclusion, single parenthood, adverse life events, subjective health three months before pregnancy and a history of depression. In model 2, SEP and family structure were added to the model.</w:t>
      </w:r>
    </w:p>
    <w:p w:rsidR="00ED12A8" w:rsidRDefault="00555858">
      <w:pPr>
        <w:pStyle w:val="NormalWeb"/>
        <w:jc w:val="both"/>
      </w:pPr>
      <w:r>
        <w:t xml:space="preserve">To answer the second research question, ethnicity was replaced by level of integration, as over-adjustment was expected when including a variable highly correlated with ethnicity and falling on the pathway between ethnicity and depression in pregnancy. After removal of ethnicity from Model 2, we first used the PCA variable for level of integration. Then we assessed different indicators of social integration in the total sample, and then restricted analyses to the ethnic minority group. We used all available individual items thought to </w:t>
      </w:r>
      <w:r>
        <w:lastRenderedPageBreak/>
        <w:t>reflect level of integration, plus family structure, thereafter including SEP in all models. The model with the PCA variable reflecting the overall level of integration instead of the individual items had the best fit (Model 3).</w:t>
      </w:r>
    </w:p>
    <w:p w:rsidR="00ED12A8" w:rsidRDefault="00555858">
      <w:pPr>
        <w:pStyle w:val="NormalWeb"/>
        <w:jc w:val="both"/>
      </w:pPr>
      <w:r>
        <w:t>All models were tested for interactions, entering cross-product terms one-by-one. The only significant interaction found was between ethnicity and age (p = 0.04), and age was therefore excluded from the final models as it had negligible impact on the estimates. Lastly, a sensitivity analysis was performed (Model 1-2 repeated) using EPDS sum score ≥12, for Western versus ethnic minority women. In these analyses, all minority groups were merged due to low numbers in some groups.</w:t>
      </w:r>
    </w:p>
    <w:p w:rsidR="00ED12A8" w:rsidRDefault="00555858">
      <w:pPr>
        <w:pStyle w:val="NormalWeb"/>
        <w:jc w:val="both"/>
      </w:pPr>
      <w:r>
        <w:t xml:space="preserve">The statistical significance level was set to p &lt;0.05. We report explained variance for the Models as </w:t>
      </w:r>
      <w:proofErr w:type="spellStart"/>
      <w:r>
        <w:t>Nagelkerke</w:t>
      </w:r>
      <w:proofErr w:type="spellEnd"/>
      <w:r>
        <w:t xml:space="preserve"> R-square (R</w:t>
      </w:r>
      <w:r>
        <w:rPr>
          <w:vertAlign w:val="superscript"/>
        </w:rPr>
        <w:t>2</w:t>
      </w:r>
      <w:r>
        <w:t>). The SPSS version 19 (IBM SPSS statistics, NY, USA) was used for all analyses.</w:t>
      </w:r>
    </w:p>
    <w:p w:rsidR="00ED12A8" w:rsidRDefault="00555858">
      <w:pPr>
        <w:pStyle w:val="h1"/>
      </w:pPr>
      <w:r>
        <w:t>Results</w:t>
      </w:r>
    </w:p>
    <w:p w:rsidR="00ED12A8" w:rsidRDefault="00555858">
      <w:pPr>
        <w:pStyle w:val="h2"/>
      </w:pPr>
      <w:r>
        <w:t>Characteristics of study sample</w:t>
      </w:r>
    </w:p>
    <w:p w:rsidR="00ED12A8" w:rsidRDefault="00555858">
      <w:pPr>
        <w:pStyle w:val="NormalWeb"/>
        <w:jc w:val="both"/>
      </w:pPr>
      <w:r>
        <w:t>Of the 749 women with valid EPDS data, 444 (59.3%) were ethnic minorities. Baseline socio-demographic characteristics according to ethnic group are presented in Table 1. The ethnic minority women were younger, had less education, and higher parity and unemployment compared to Western European women. Heterogeneity was found across ethnic minority subgroups. No significant baseline differences were found between participants and the 74 excluded women on the following variables: ethnicity, age, GW at inclusion, parity, single parenthood, employment status and education.</w:t>
      </w:r>
    </w:p>
    <w:p w:rsidR="0026275D" w:rsidRDefault="0026275D">
      <w:pPr>
        <w:pStyle w:val="float"/>
        <w:spacing w:after="0" w:afterAutospacing="0"/>
        <w:rPr>
          <w:rStyle w:val="Caption1"/>
          <w:b/>
          <w:bCs/>
        </w:rPr>
        <w:sectPr w:rsidR="0026275D" w:rsidSect="008A1CD0">
          <w:pgSz w:w="11909" w:h="16834"/>
          <w:pgMar w:top="1440" w:right="1440" w:bottom="1440" w:left="1440" w:header="720" w:footer="720" w:gutter="0"/>
          <w:cols w:space="720"/>
          <w:docGrid w:linePitch="360"/>
        </w:sectPr>
      </w:pPr>
    </w:p>
    <w:p w:rsidR="00ED12A8" w:rsidRPr="00495609" w:rsidRDefault="00555858" w:rsidP="002E2626">
      <w:pPr>
        <w:pStyle w:val="float"/>
        <w:spacing w:after="0" w:afterAutospacing="0"/>
        <w:ind w:left="-630"/>
        <w:rPr>
          <w:sz w:val="18"/>
          <w:szCs w:val="18"/>
        </w:rPr>
      </w:pPr>
      <w:r w:rsidRPr="00495609">
        <w:rPr>
          <w:rStyle w:val="Caption1"/>
          <w:b/>
          <w:bCs/>
          <w:sz w:val="18"/>
          <w:szCs w:val="18"/>
        </w:rPr>
        <w:lastRenderedPageBreak/>
        <w:t>Table 1</w:t>
      </w:r>
      <w:r w:rsidRPr="00495609">
        <w:rPr>
          <w:rStyle w:val="Caption1"/>
          <w:sz w:val="18"/>
          <w:szCs w:val="18"/>
        </w:rPr>
        <w:t xml:space="preserve"> </w:t>
      </w:r>
      <w:r w:rsidRPr="00495609">
        <w:rPr>
          <w:rStyle w:val="bold"/>
          <w:sz w:val="18"/>
          <w:szCs w:val="18"/>
        </w:rPr>
        <w:t>Baseline characteristics for Western and ethnic minority women</w:t>
      </w:r>
    </w:p>
    <w:tbl>
      <w:tblPr>
        <w:tblW w:w="5441" w:type="pct"/>
        <w:jc w:val="center"/>
        <w:tblInd w:w="-1065" w:type="dxa"/>
        <w:tblBorders>
          <w:top w:val="single" w:sz="12" w:space="0" w:color="000000"/>
          <w:bottom w:val="single" w:sz="12" w:space="0" w:color="000000"/>
        </w:tblBorders>
        <w:tblCellMar>
          <w:top w:w="15" w:type="dxa"/>
          <w:left w:w="15" w:type="dxa"/>
          <w:bottom w:w="15" w:type="dxa"/>
          <w:right w:w="15" w:type="dxa"/>
        </w:tblCellMar>
        <w:tblLook w:val="04A0" w:firstRow="1" w:lastRow="0" w:firstColumn="1" w:lastColumn="0" w:noHBand="0" w:noVBand="1"/>
      </w:tblPr>
      <w:tblGrid>
        <w:gridCol w:w="4062"/>
        <w:gridCol w:w="1169"/>
        <w:gridCol w:w="2063"/>
        <w:gridCol w:w="2520"/>
        <w:gridCol w:w="1528"/>
        <w:gridCol w:w="1796"/>
        <w:gridCol w:w="2079"/>
      </w:tblGrid>
      <w:tr w:rsidR="00DC5BBA" w:rsidRPr="00495609" w:rsidTr="00DC5BBA">
        <w:trPr>
          <w:tblHeader/>
          <w:jc w:val="center"/>
        </w:trPr>
        <w:tc>
          <w:tcPr>
            <w:tcW w:w="1335" w:type="pct"/>
            <w:hideMark/>
          </w:tcPr>
          <w:p w:rsidR="00ED12A8" w:rsidRPr="00495609" w:rsidRDefault="00ED12A8">
            <w:pPr>
              <w:rPr>
                <w:rFonts w:eastAsia="Times New Roman"/>
                <w:sz w:val="18"/>
                <w:szCs w:val="18"/>
              </w:rPr>
            </w:pPr>
          </w:p>
        </w:tc>
        <w:tc>
          <w:tcPr>
            <w:tcW w:w="384" w:type="pct"/>
            <w:hideMark/>
          </w:tcPr>
          <w:p w:rsidR="00ED12A8" w:rsidRPr="00495609" w:rsidRDefault="00555858">
            <w:pPr>
              <w:rPr>
                <w:rFonts w:eastAsia="Times New Roman"/>
                <w:sz w:val="18"/>
                <w:szCs w:val="18"/>
              </w:rPr>
            </w:pPr>
            <w:r w:rsidRPr="00495609">
              <w:rPr>
                <w:rStyle w:val="bold"/>
                <w:rFonts w:eastAsia="Times New Roman"/>
                <w:sz w:val="18"/>
                <w:szCs w:val="18"/>
              </w:rPr>
              <w:t>Total n =749</w:t>
            </w:r>
          </w:p>
        </w:tc>
        <w:tc>
          <w:tcPr>
            <w:tcW w:w="678" w:type="pct"/>
            <w:hideMark/>
          </w:tcPr>
          <w:p w:rsidR="00ED12A8" w:rsidRPr="00495609" w:rsidRDefault="00555858">
            <w:pPr>
              <w:rPr>
                <w:rFonts w:eastAsia="Times New Roman"/>
                <w:sz w:val="18"/>
                <w:szCs w:val="18"/>
              </w:rPr>
            </w:pPr>
            <w:r w:rsidRPr="00495609">
              <w:rPr>
                <w:rStyle w:val="bold"/>
                <w:rFonts w:eastAsia="Times New Roman"/>
                <w:sz w:val="18"/>
                <w:szCs w:val="18"/>
              </w:rPr>
              <w:t>Western Europe n = 305</w:t>
            </w:r>
          </w:p>
        </w:tc>
        <w:tc>
          <w:tcPr>
            <w:tcW w:w="828" w:type="pct"/>
            <w:hideMark/>
          </w:tcPr>
          <w:p w:rsidR="00ED12A8" w:rsidRPr="00495609" w:rsidRDefault="00555858">
            <w:pPr>
              <w:rPr>
                <w:rFonts w:eastAsia="Times New Roman"/>
                <w:sz w:val="18"/>
                <w:szCs w:val="18"/>
              </w:rPr>
            </w:pPr>
            <w:r w:rsidRPr="00495609">
              <w:rPr>
                <w:rStyle w:val="bold"/>
                <w:rFonts w:eastAsia="Times New Roman"/>
                <w:sz w:val="18"/>
                <w:szCs w:val="18"/>
              </w:rPr>
              <w:t>Ethnic Minority Group n = 444</w:t>
            </w:r>
          </w:p>
        </w:tc>
        <w:tc>
          <w:tcPr>
            <w:tcW w:w="502" w:type="pct"/>
            <w:hideMark/>
          </w:tcPr>
          <w:p w:rsidR="00ED12A8" w:rsidRPr="00495609" w:rsidRDefault="00555858">
            <w:pPr>
              <w:rPr>
                <w:rFonts w:eastAsia="Times New Roman"/>
                <w:sz w:val="18"/>
                <w:szCs w:val="18"/>
              </w:rPr>
            </w:pPr>
            <w:r w:rsidRPr="00495609">
              <w:rPr>
                <w:rStyle w:val="bold"/>
                <w:rFonts w:eastAsia="Times New Roman"/>
                <w:sz w:val="18"/>
                <w:szCs w:val="18"/>
              </w:rPr>
              <w:t>South Asia n = 189</w:t>
            </w:r>
          </w:p>
        </w:tc>
        <w:tc>
          <w:tcPr>
            <w:tcW w:w="590" w:type="pct"/>
            <w:hideMark/>
          </w:tcPr>
          <w:p w:rsidR="00ED12A8" w:rsidRPr="00495609" w:rsidRDefault="00555858">
            <w:pPr>
              <w:rPr>
                <w:rFonts w:eastAsia="Times New Roman"/>
                <w:sz w:val="18"/>
                <w:szCs w:val="18"/>
              </w:rPr>
            </w:pPr>
            <w:r w:rsidRPr="00495609">
              <w:rPr>
                <w:rStyle w:val="bold"/>
                <w:rFonts w:eastAsia="Times New Roman"/>
                <w:sz w:val="18"/>
                <w:szCs w:val="18"/>
              </w:rPr>
              <w:t>Middle East n = 113</w:t>
            </w:r>
          </w:p>
        </w:tc>
        <w:tc>
          <w:tcPr>
            <w:tcW w:w="682" w:type="pct"/>
            <w:hideMark/>
          </w:tcPr>
          <w:p w:rsidR="00ED12A8" w:rsidRPr="00495609" w:rsidRDefault="00555858">
            <w:pPr>
              <w:rPr>
                <w:rFonts w:eastAsia="Times New Roman"/>
                <w:sz w:val="18"/>
                <w:szCs w:val="18"/>
              </w:rPr>
            </w:pPr>
            <w:r w:rsidRPr="00495609">
              <w:rPr>
                <w:rStyle w:val="bold"/>
                <w:rFonts w:eastAsia="Times New Roman"/>
                <w:sz w:val="18"/>
                <w:szCs w:val="18"/>
              </w:rPr>
              <w:t>Other Minorities n = 142</w:t>
            </w:r>
          </w:p>
        </w:tc>
      </w:tr>
      <w:tr w:rsidR="00DC5BBA" w:rsidRPr="00495609" w:rsidTr="00DC5BBA">
        <w:trPr>
          <w:tblHeader/>
          <w:jc w:val="center"/>
        </w:trPr>
        <w:tc>
          <w:tcPr>
            <w:tcW w:w="1335" w:type="pct"/>
            <w:tcBorders>
              <w:top w:val="single" w:sz="12" w:space="0" w:color="000000"/>
            </w:tcBorders>
            <w:hideMark/>
          </w:tcPr>
          <w:p w:rsidR="00ED12A8" w:rsidRPr="00495609" w:rsidRDefault="00ED12A8">
            <w:pPr>
              <w:rPr>
                <w:rFonts w:eastAsia="Times New Roman"/>
                <w:sz w:val="18"/>
                <w:szCs w:val="18"/>
              </w:rPr>
            </w:pPr>
          </w:p>
        </w:tc>
        <w:tc>
          <w:tcPr>
            <w:tcW w:w="384" w:type="pct"/>
            <w:tcBorders>
              <w:top w:val="single" w:sz="12" w:space="0" w:color="000000"/>
            </w:tcBorders>
            <w:hideMark/>
          </w:tcPr>
          <w:p w:rsidR="00ED12A8" w:rsidRPr="00495609" w:rsidRDefault="00555858">
            <w:pPr>
              <w:rPr>
                <w:rFonts w:eastAsia="Times New Roman"/>
                <w:sz w:val="18"/>
                <w:szCs w:val="18"/>
              </w:rPr>
            </w:pPr>
            <w:proofErr w:type="gramStart"/>
            <w:r w:rsidRPr="00495609">
              <w:rPr>
                <w:rStyle w:val="simple"/>
                <w:rFonts w:eastAsia="Times New Roman"/>
                <w:sz w:val="18"/>
                <w:szCs w:val="18"/>
              </w:rPr>
              <w:t>n</w:t>
            </w:r>
            <w:proofErr w:type="gramEnd"/>
            <w:r w:rsidRPr="00495609">
              <w:rPr>
                <w:rStyle w:val="simple"/>
                <w:rFonts w:eastAsia="Times New Roman"/>
                <w:sz w:val="18"/>
                <w:szCs w:val="18"/>
              </w:rPr>
              <w:t xml:space="preserve"> (%)</w:t>
            </w:r>
          </w:p>
        </w:tc>
        <w:tc>
          <w:tcPr>
            <w:tcW w:w="678" w:type="pct"/>
            <w:tcBorders>
              <w:top w:val="single" w:sz="12" w:space="0" w:color="000000"/>
            </w:tcBorders>
            <w:hideMark/>
          </w:tcPr>
          <w:p w:rsidR="00ED12A8" w:rsidRPr="00495609" w:rsidRDefault="00555858">
            <w:pPr>
              <w:rPr>
                <w:rFonts w:eastAsia="Times New Roman"/>
                <w:sz w:val="18"/>
                <w:szCs w:val="18"/>
              </w:rPr>
            </w:pPr>
            <w:proofErr w:type="gramStart"/>
            <w:r w:rsidRPr="00495609">
              <w:rPr>
                <w:rStyle w:val="simple"/>
                <w:rFonts w:eastAsia="Times New Roman"/>
                <w:sz w:val="18"/>
                <w:szCs w:val="18"/>
              </w:rPr>
              <w:t>n</w:t>
            </w:r>
            <w:proofErr w:type="gramEnd"/>
            <w:r w:rsidRPr="00495609">
              <w:rPr>
                <w:rStyle w:val="simple"/>
                <w:rFonts w:eastAsia="Times New Roman"/>
                <w:sz w:val="18"/>
                <w:szCs w:val="18"/>
              </w:rPr>
              <w:t xml:space="preserve"> (%)</w:t>
            </w:r>
          </w:p>
        </w:tc>
        <w:tc>
          <w:tcPr>
            <w:tcW w:w="828" w:type="pct"/>
            <w:tcBorders>
              <w:top w:val="single" w:sz="12" w:space="0" w:color="000000"/>
            </w:tcBorders>
            <w:hideMark/>
          </w:tcPr>
          <w:p w:rsidR="00ED12A8" w:rsidRPr="00495609" w:rsidRDefault="00555858">
            <w:pPr>
              <w:rPr>
                <w:rFonts w:eastAsia="Times New Roman"/>
                <w:sz w:val="18"/>
                <w:szCs w:val="18"/>
              </w:rPr>
            </w:pPr>
            <w:proofErr w:type="gramStart"/>
            <w:r w:rsidRPr="00495609">
              <w:rPr>
                <w:rStyle w:val="simple"/>
                <w:rFonts w:eastAsia="Times New Roman"/>
                <w:sz w:val="18"/>
                <w:szCs w:val="18"/>
              </w:rPr>
              <w:t>n</w:t>
            </w:r>
            <w:proofErr w:type="gramEnd"/>
            <w:r w:rsidRPr="00495609">
              <w:rPr>
                <w:rStyle w:val="simple"/>
                <w:rFonts w:eastAsia="Times New Roman"/>
                <w:sz w:val="18"/>
                <w:szCs w:val="18"/>
              </w:rPr>
              <w:t xml:space="preserve"> (%)</w:t>
            </w:r>
          </w:p>
        </w:tc>
        <w:tc>
          <w:tcPr>
            <w:tcW w:w="502" w:type="pct"/>
            <w:tcBorders>
              <w:top w:val="single" w:sz="12" w:space="0" w:color="000000"/>
            </w:tcBorders>
            <w:hideMark/>
          </w:tcPr>
          <w:p w:rsidR="00ED12A8" w:rsidRPr="00495609" w:rsidRDefault="00555858">
            <w:pPr>
              <w:rPr>
                <w:rFonts w:eastAsia="Times New Roman"/>
                <w:sz w:val="18"/>
                <w:szCs w:val="18"/>
              </w:rPr>
            </w:pPr>
            <w:proofErr w:type="gramStart"/>
            <w:r w:rsidRPr="00495609">
              <w:rPr>
                <w:rStyle w:val="simple"/>
                <w:rFonts w:eastAsia="Times New Roman"/>
                <w:sz w:val="18"/>
                <w:szCs w:val="18"/>
              </w:rPr>
              <w:t>n</w:t>
            </w:r>
            <w:proofErr w:type="gramEnd"/>
            <w:r w:rsidRPr="00495609">
              <w:rPr>
                <w:rStyle w:val="simple"/>
                <w:rFonts w:eastAsia="Times New Roman"/>
                <w:sz w:val="18"/>
                <w:szCs w:val="18"/>
              </w:rPr>
              <w:t xml:space="preserve"> (%)</w:t>
            </w:r>
          </w:p>
        </w:tc>
        <w:tc>
          <w:tcPr>
            <w:tcW w:w="590" w:type="pct"/>
            <w:tcBorders>
              <w:top w:val="single" w:sz="12" w:space="0" w:color="000000"/>
            </w:tcBorders>
            <w:hideMark/>
          </w:tcPr>
          <w:p w:rsidR="00ED12A8" w:rsidRPr="00495609" w:rsidRDefault="00555858">
            <w:pPr>
              <w:rPr>
                <w:rFonts w:eastAsia="Times New Roman"/>
                <w:sz w:val="18"/>
                <w:szCs w:val="18"/>
              </w:rPr>
            </w:pPr>
            <w:proofErr w:type="gramStart"/>
            <w:r w:rsidRPr="00495609">
              <w:rPr>
                <w:rStyle w:val="simple"/>
                <w:rFonts w:eastAsia="Times New Roman"/>
                <w:sz w:val="18"/>
                <w:szCs w:val="18"/>
              </w:rPr>
              <w:t>n</w:t>
            </w:r>
            <w:proofErr w:type="gramEnd"/>
            <w:r w:rsidRPr="00495609">
              <w:rPr>
                <w:rStyle w:val="simple"/>
                <w:rFonts w:eastAsia="Times New Roman"/>
                <w:sz w:val="18"/>
                <w:szCs w:val="18"/>
              </w:rPr>
              <w:t xml:space="preserve"> (%)</w:t>
            </w:r>
          </w:p>
        </w:tc>
        <w:tc>
          <w:tcPr>
            <w:tcW w:w="682" w:type="pct"/>
            <w:tcBorders>
              <w:top w:val="single" w:sz="12" w:space="0" w:color="000000"/>
            </w:tcBorders>
            <w:hideMark/>
          </w:tcPr>
          <w:p w:rsidR="00ED12A8" w:rsidRPr="00495609" w:rsidRDefault="00555858">
            <w:pPr>
              <w:rPr>
                <w:rFonts w:eastAsia="Times New Roman"/>
                <w:sz w:val="18"/>
                <w:szCs w:val="18"/>
              </w:rPr>
            </w:pPr>
            <w:proofErr w:type="gramStart"/>
            <w:r w:rsidRPr="00495609">
              <w:rPr>
                <w:rStyle w:val="simple"/>
                <w:rFonts w:eastAsia="Times New Roman"/>
                <w:sz w:val="18"/>
                <w:szCs w:val="18"/>
              </w:rPr>
              <w:t>n(</w:t>
            </w:r>
            <w:proofErr w:type="gramEnd"/>
            <w:r w:rsidRPr="00495609">
              <w:rPr>
                <w:rStyle w:val="simple"/>
                <w:rFonts w:eastAsia="Times New Roman"/>
                <w:sz w:val="18"/>
                <w:szCs w:val="18"/>
              </w:rPr>
              <w:t>%)</w:t>
            </w:r>
          </w:p>
        </w:tc>
      </w:tr>
      <w:tr w:rsidR="00DC5BBA" w:rsidRPr="00495609" w:rsidTr="00DC5BBA">
        <w:trPr>
          <w:tblHeader/>
          <w:jc w:val="center"/>
        </w:trPr>
        <w:tc>
          <w:tcPr>
            <w:tcW w:w="1335" w:type="pct"/>
            <w:hideMark/>
          </w:tcPr>
          <w:p w:rsidR="00ED12A8" w:rsidRPr="00495609" w:rsidRDefault="00555858">
            <w:pPr>
              <w:rPr>
                <w:rFonts w:eastAsia="Times New Roman"/>
                <w:sz w:val="18"/>
                <w:szCs w:val="18"/>
              </w:rPr>
            </w:pPr>
            <w:r w:rsidRPr="00495609">
              <w:rPr>
                <w:rStyle w:val="simple"/>
                <w:rFonts w:eastAsia="Times New Roman"/>
                <w:sz w:val="18"/>
                <w:szCs w:val="18"/>
              </w:rPr>
              <w:t>Age, mean (SD)</w:t>
            </w:r>
          </w:p>
        </w:tc>
        <w:tc>
          <w:tcPr>
            <w:tcW w:w="384" w:type="pct"/>
            <w:hideMark/>
          </w:tcPr>
          <w:p w:rsidR="00ED12A8" w:rsidRPr="00495609" w:rsidRDefault="00555858">
            <w:pPr>
              <w:rPr>
                <w:rFonts w:eastAsia="Times New Roman"/>
                <w:sz w:val="18"/>
                <w:szCs w:val="18"/>
              </w:rPr>
            </w:pPr>
            <w:r w:rsidRPr="00495609">
              <w:rPr>
                <w:rStyle w:val="simple"/>
                <w:rFonts w:eastAsia="Times New Roman"/>
                <w:sz w:val="18"/>
                <w:szCs w:val="18"/>
              </w:rPr>
              <w:t>29.9 (4.84)</w:t>
            </w:r>
          </w:p>
        </w:tc>
        <w:tc>
          <w:tcPr>
            <w:tcW w:w="678" w:type="pct"/>
            <w:hideMark/>
          </w:tcPr>
          <w:p w:rsidR="00ED12A8" w:rsidRPr="00495609" w:rsidRDefault="00555858">
            <w:pPr>
              <w:rPr>
                <w:rFonts w:eastAsia="Times New Roman"/>
                <w:sz w:val="18"/>
                <w:szCs w:val="18"/>
              </w:rPr>
            </w:pPr>
            <w:r w:rsidRPr="00495609">
              <w:rPr>
                <w:rStyle w:val="simple"/>
                <w:rFonts w:eastAsia="Times New Roman"/>
                <w:sz w:val="18"/>
                <w:szCs w:val="18"/>
              </w:rPr>
              <w:t>30.9 (4.50)</w:t>
            </w:r>
          </w:p>
        </w:tc>
        <w:tc>
          <w:tcPr>
            <w:tcW w:w="828" w:type="pct"/>
            <w:hideMark/>
          </w:tcPr>
          <w:p w:rsidR="00ED12A8" w:rsidRPr="00495609" w:rsidRDefault="00555858">
            <w:pPr>
              <w:rPr>
                <w:rFonts w:eastAsia="Times New Roman"/>
                <w:sz w:val="18"/>
                <w:szCs w:val="18"/>
              </w:rPr>
            </w:pPr>
            <w:r w:rsidRPr="00495609">
              <w:rPr>
                <w:rStyle w:val="simple"/>
                <w:rFonts w:eastAsia="Times New Roman"/>
                <w:sz w:val="18"/>
                <w:szCs w:val="18"/>
              </w:rPr>
              <w:t>29.2 (4.93)</w:t>
            </w:r>
          </w:p>
        </w:tc>
        <w:tc>
          <w:tcPr>
            <w:tcW w:w="502" w:type="pct"/>
            <w:hideMark/>
          </w:tcPr>
          <w:p w:rsidR="00ED12A8" w:rsidRPr="00495609" w:rsidRDefault="00555858">
            <w:pPr>
              <w:rPr>
                <w:rFonts w:eastAsia="Times New Roman"/>
                <w:sz w:val="18"/>
                <w:szCs w:val="18"/>
              </w:rPr>
            </w:pPr>
            <w:r w:rsidRPr="00495609">
              <w:rPr>
                <w:rStyle w:val="simple"/>
                <w:rFonts w:eastAsia="Times New Roman"/>
                <w:sz w:val="18"/>
                <w:szCs w:val="18"/>
              </w:rPr>
              <w:t>28.7 (4.46)</w:t>
            </w:r>
          </w:p>
        </w:tc>
        <w:tc>
          <w:tcPr>
            <w:tcW w:w="590" w:type="pct"/>
            <w:hideMark/>
          </w:tcPr>
          <w:p w:rsidR="00ED12A8" w:rsidRPr="00495609" w:rsidRDefault="00555858">
            <w:pPr>
              <w:rPr>
                <w:rFonts w:eastAsia="Times New Roman"/>
                <w:sz w:val="18"/>
                <w:szCs w:val="18"/>
              </w:rPr>
            </w:pPr>
            <w:r w:rsidRPr="00495609">
              <w:rPr>
                <w:rStyle w:val="simple"/>
                <w:rFonts w:eastAsia="Times New Roman"/>
                <w:sz w:val="18"/>
                <w:szCs w:val="18"/>
              </w:rPr>
              <w:t>29.6 (5.46)</w:t>
            </w:r>
          </w:p>
        </w:tc>
        <w:tc>
          <w:tcPr>
            <w:tcW w:w="682" w:type="pct"/>
            <w:hideMark/>
          </w:tcPr>
          <w:p w:rsidR="00ED12A8" w:rsidRPr="00495609" w:rsidRDefault="00555858">
            <w:pPr>
              <w:rPr>
                <w:rFonts w:eastAsia="Times New Roman"/>
                <w:sz w:val="18"/>
                <w:szCs w:val="18"/>
              </w:rPr>
            </w:pPr>
            <w:r w:rsidRPr="00495609">
              <w:rPr>
                <w:rStyle w:val="simple"/>
                <w:rFonts w:eastAsia="Times New Roman"/>
                <w:sz w:val="18"/>
                <w:szCs w:val="18"/>
              </w:rPr>
              <w:t>29.4 (5.07)</w:t>
            </w:r>
          </w:p>
        </w:tc>
      </w:tr>
      <w:tr w:rsidR="00DC5BBA" w:rsidRPr="00495609" w:rsidTr="00DC5BBA">
        <w:trPr>
          <w:tblHeader/>
          <w:jc w:val="center"/>
        </w:trPr>
        <w:tc>
          <w:tcPr>
            <w:tcW w:w="1335" w:type="pct"/>
            <w:hideMark/>
          </w:tcPr>
          <w:p w:rsidR="00ED12A8" w:rsidRPr="00495609" w:rsidRDefault="00555858">
            <w:pPr>
              <w:rPr>
                <w:rFonts w:eastAsia="Times New Roman"/>
                <w:sz w:val="18"/>
                <w:szCs w:val="18"/>
              </w:rPr>
            </w:pPr>
            <w:r w:rsidRPr="00495609">
              <w:rPr>
                <w:rStyle w:val="simple"/>
                <w:rFonts w:eastAsia="Times New Roman"/>
                <w:sz w:val="18"/>
                <w:szCs w:val="18"/>
              </w:rPr>
              <w:t>Week of inclusion, mean (SD)</w:t>
            </w:r>
          </w:p>
        </w:tc>
        <w:tc>
          <w:tcPr>
            <w:tcW w:w="384" w:type="pct"/>
            <w:hideMark/>
          </w:tcPr>
          <w:p w:rsidR="00ED12A8" w:rsidRPr="00495609" w:rsidRDefault="00555858">
            <w:pPr>
              <w:rPr>
                <w:rFonts w:eastAsia="Times New Roman"/>
                <w:sz w:val="18"/>
                <w:szCs w:val="18"/>
              </w:rPr>
            </w:pPr>
            <w:r w:rsidRPr="00495609">
              <w:rPr>
                <w:rStyle w:val="simple"/>
                <w:rFonts w:eastAsia="Times New Roman"/>
                <w:sz w:val="18"/>
                <w:szCs w:val="18"/>
              </w:rPr>
              <w:t>15.1 (3.39)</w:t>
            </w:r>
          </w:p>
        </w:tc>
        <w:tc>
          <w:tcPr>
            <w:tcW w:w="678" w:type="pct"/>
            <w:hideMark/>
          </w:tcPr>
          <w:p w:rsidR="00ED12A8" w:rsidRPr="00495609" w:rsidRDefault="00555858">
            <w:pPr>
              <w:rPr>
                <w:rFonts w:eastAsia="Times New Roman"/>
                <w:sz w:val="18"/>
                <w:szCs w:val="18"/>
              </w:rPr>
            </w:pPr>
            <w:r w:rsidRPr="00495609">
              <w:rPr>
                <w:rStyle w:val="simple"/>
                <w:rFonts w:eastAsia="Times New Roman"/>
                <w:sz w:val="18"/>
                <w:szCs w:val="18"/>
              </w:rPr>
              <w:t>14.2 (2.25)</w:t>
            </w:r>
          </w:p>
        </w:tc>
        <w:tc>
          <w:tcPr>
            <w:tcW w:w="828" w:type="pct"/>
            <w:hideMark/>
          </w:tcPr>
          <w:p w:rsidR="00ED12A8" w:rsidRPr="00495609" w:rsidRDefault="00555858">
            <w:pPr>
              <w:rPr>
                <w:rFonts w:eastAsia="Times New Roman"/>
                <w:sz w:val="18"/>
                <w:szCs w:val="18"/>
              </w:rPr>
            </w:pPr>
            <w:r w:rsidRPr="00495609">
              <w:rPr>
                <w:rStyle w:val="simple"/>
                <w:rFonts w:eastAsia="Times New Roman"/>
                <w:sz w:val="18"/>
                <w:szCs w:val="18"/>
              </w:rPr>
              <w:t>15.7 (3.87)</w:t>
            </w:r>
          </w:p>
        </w:tc>
        <w:tc>
          <w:tcPr>
            <w:tcW w:w="502" w:type="pct"/>
            <w:hideMark/>
          </w:tcPr>
          <w:p w:rsidR="00ED12A8" w:rsidRPr="00495609" w:rsidRDefault="00555858">
            <w:pPr>
              <w:rPr>
                <w:rFonts w:eastAsia="Times New Roman"/>
                <w:sz w:val="18"/>
                <w:szCs w:val="18"/>
              </w:rPr>
            </w:pPr>
            <w:r w:rsidRPr="00495609">
              <w:rPr>
                <w:rStyle w:val="simple"/>
                <w:rFonts w:eastAsia="Times New Roman"/>
                <w:sz w:val="18"/>
                <w:szCs w:val="18"/>
              </w:rPr>
              <w:t>15.6 (3.86)</w:t>
            </w:r>
          </w:p>
        </w:tc>
        <w:tc>
          <w:tcPr>
            <w:tcW w:w="590" w:type="pct"/>
            <w:hideMark/>
          </w:tcPr>
          <w:p w:rsidR="00ED12A8" w:rsidRPr="00495609" w:rsidRDefault="00555858">
            <w:pPr>
              <w:rPr>
                <w:rFonts w:eastAsia="Times New Roman"/>
                <w:sz w:val="18"/>
                <w:szCs w:val="18"/>
              </w:rPr>
            </w:pPr>
            <w:r w:rsidRPr="00495609">
              <w:rPr>
                <w:rStyle w:val="simple"/>
                <w:rFonts w:eastAsia="Times New Roman"/>
                <w:sz w:val="18"/>
                <w:szCs w:val="18"/>
              </w:rPr>
              <w:t>15.1 (3.27)</w:t>
            </w:r>
          </w:p>
        </w:tc>
        <w:tc>
          <w:tcPr>
            <w:tcW w:w="682" w:type="pct"/>
            <w:hideMark/>
          </w:tcPr>
          <w:p w:rsidR="00ED12A8" w:rsidRPr="00495609" w:rsidRDefault="00555858">
            <w:pPr>
              <w:rPr>
                <w:rFonts w:eastAsia="Times New Roman"/>
                <w:sz w:val="18"/>
                <w:szCs w:val="18"/>
              </w:rPr>
            </w:pPr>
            <w:r w:rsidRPr="00495609">
              <w:rPr>
                <w:rStyle w:val="simple"/>
                <w:rFonts w:eastAsia="Times New Roman"/>
                <w:sz w:val="18"/>
                <w:szCs w:val="18"/>
              </w:rPr>
              <w:t>16.2 (4.26)</w:t>
            </w:r>
          </w:p>
        </w:tc>
      </w:tr>
      <w:tr w:rsidR="00DC5BBA" w:rsidRPr="00495609" w:rsidTr="00DC5BBA">
        <w:trPr>
          <w:tblHeader/>
          <w:jc w:val="center"/>
        </w:trPr>
        <w:tc>
          <w:tcPr>
            <w:tcW w:w="1335" w:type="pct"/>
            <w:hideMark/>
          </w:tcPr>
          <w:p w:rsidR="00ED12A8" w:rsidRPr="00495609" w:rsidRDefault="00555858">
            <w:pPr>
              <w:rPr>
                <w:rFonts w:eastAsia="Times New Roman"/>
                <w:sz w:val="18"/>
                <w:szCs w:val="18"/>
              </w:rPr>
            </w:pPr>
            <w:r w:rsidRPr="00495609">
              <w:rPr>
                <w:rStyle w:val="simple"/>
                <w:rFonts w:eastAsia="Times New Roman"/>
                <w:sz w:val="18"/>
                <w:szCs w:val="18"/>
              </w:rPr>
              <w:t>Nulliparous</w:t>
            </w:r>
          </w:p>
        </w:tc>
        <w:tc>
          <w:tcPr>
            <w:tcW w:w="384" w:type="pct"/>
            <w:hideMark/>
          </w:tcPr>
          <w:p w:rsidR="00ED12A8" w:rsidRPr="00495609" w:rsidRDefault="00555858">
            <w:pPr>
              <w:rPr>
                <w:rFonts w:eastAsia="Times New Roman"/>
                <w:sz w:val="18"/>
                <w:szCs w:val="18"/>
              </w:rPr>
            </w:pPr>
            <w:r w:rsidRPr="00495609">
              <w:rPr>
                <w:rStyle w:val="simple"/>
                <w:rFonts w:eastAsia="Times New Roman"/>
                <w:sz w:val="18"/>
                <w:szCs w:val="18"/>
              </w:rPr>
              <w:t>344 (45.9)</w:t>
            </w:r>
          </w:p>
        </w:tc>
        <w:tc>
          <w:tcPr>
            <w:tcW w:w="678" w:type="pct"/>
            <w:hideMark/>
          </w:tcPr>
          <w:p w:rsidR="00ED12A8" w:rsidRPr="00495609" w:rsidRDefault="00555858">
            <w:pPr>
              <w:rPr>
                <w:rFonts w:eastAsia="Times New Roman"/>
                <w:sz w:val="18"/>
                <w:szCs w:val="18"/>
              </w:rPr>
            </w:pPr>
            <w:r w:rsidRPr="00495609">
              <w:rPr>
                <w:rStyle w:val="simple"/>
                <w:rFonts w:eastAsia="Times New Roman"/>
                <w:sz w:val="18"/>
                <w:szCs w:val="18"/>
              </w:rPr>
              <w:t>157 (51.5)</w:t>
            </w:r>
          </w:p>
        </w:tc>
        <w:tc>
          <w:tcPr>
            <w:tcW w:w="828" w:type="pct"/>
            <w:hideMark/>
          </w:tcPr>
          <w:p w:rsidR="00ED12A8" w:rsidRPr="00495609" w:rsidRDefault="00555858">
            <w:pPr>
              <w:rPr>
                <w:rFonts w:eastAsia="Times New Roman"/>
                <w:sz w:val="18"/>
                <w:szCs w:val="18"/>
              </w:rPr>
            </w:pPr>
            <w:r w:rsidRPr="00495609">
              <w:rPr>
                <w:rStyle w:val="simple"/>
                <w:rFonts w:eastAsia="Times New Roman"/>
                <w:sz w:val="18"/>
                <w:szCs w:val="18"/>
              </w:rPr>
              <w:t>187 (42.1)</w:t>
            </w:r>
          </w:p>
        </w:tc>
        <w:tc>
          <w:tcPr>
            <w:tcW w:w="502" w:type="pct"/>
            <w:hideMark/>
          </w:tcPr>
          <w:p w:rsidR="00ED12A8" w:rsidRPr="00495609" w:rsidRDefault="00555858">
            <w:pPr>
              <w:rPr>
                <w:rFonts w:eastAsia="Times New Roman"/>
                <w:sz w:val="18"/>
                <w:szCs w:val="18"/>
              </w:rPr>
            </w:pPr>
            <w:r w:rsidRPr="00495609">
              <w:rPr>
                <w:rStyle w:val="simple"/>
                <w:rFonts w:eastAsia="Times New Roman"/>
                <w:sz w:val="18"/>
                <w:szCs w:val="18"/>
              </w:rPr>
              <w:t>78 (41.3)</w:t>
            </w:r>
          </w:p>
        </w:tc>
        <w:tc>
          <w:tcPr>
            <w:tcW w:w="590" w:type="pct"/>
            <w:hideMark/>
          </w:tcPr>
          <w:p w:rsidR="00ED12A8" w:rsidRPr="00495609" w:rsidRDefault="00555858">
            <w:pPr>
              <w:rPr>
                <w:rFonts w:eastAsia="Times New Roman"/>
                <w:sz w:val="18"/>
                <w:szCs w:val="18"/>
              </w:rPr>
            </w:pPr>
            <w:r w:rsidRPr="00495609">
              <w:rPr>
                <w:rStyle w:val="simple"/>
                <w:rFonts w:eastAsia="Times New Roman"/>
                <w:sz w:val="18"/>
                <w:szCs w:val="18"/>
              </w:rPr>
              <w:t>40 (35.4)</w:t>
            </w:r>
          </w:p>
        </w:tc>
        <w:tc>
          <w:tcPr>
            <w:tcW w:w="682" w:type="pct"/>
            <w:hideMark/>
          </w:tcPr>
          <w:p w:rsidR="00ED12A8" w:rsidRPr="00495609" w:rsidRDefault="00555858">
            <w:pPr>
              <w:rPr>
                <w:rFonts w:eastAsia="Times New Roman"/>
                <w:sz w:val="18"/>
                <w:szCs w:val="18"/>
              </w:rPr>
            </w:pPr>
            <w:r w:rsidRPr="00495609">
              <w:rPr>
                <w:rStyle w:val="simple"/>
                <w:rFonts w:eastAsia="Times New Roman"/>
                <w:sz w:val="18"/>
                <w:szCs w:val="18"/>
              </w:rPr>
              <w:t>69 (48.6)</w:t>
            </w:r>
          </w:p>
        </w:tc>
      </w:tr>
      <w:tr w:rsidR="00DC5BBA" w:rsidRPr="00495609" w:rsidTr="00DC5BBA">
        <w:trPr>
          <w:tblHeader/>
          <w:jc w:val="center"/>
        </w:trPr>
        <w:tc>
          <w:tcPr>
            <w:tcW w:w="1335" w:type="pct"/>
            <w:hideMark/>
          </w:tcPr>
          <w:p w:rsidR="00ED12A8" w:rsidRPr="00495609" w:rsidRDefault="00555858">
            <w:pPr>
              <w:rPr>
                <w:rFonts w:eastAsia="Times New Roman"/>
                <w:sz w:val="18"/>
                <w:szCs w:val="18"/>
              </w:rPr>
            </w:pPr>
            <w:r w:rsidRPr="00495609">
              <w:rPr>
                <w:rStyle w:val="simple"/>
                <w:rFonts w:eastAsia="Times New Roman"/>
                <w:sz w:val="18"/>
                <w:szCs w:val="18"/>
              </w:rPr>
              <w:t>Single parenthood</w:t>
            </w:r>
            <w:r w:rsidRPr="00495609">
              <w:rPr>
                <w:rStyle w:val="simple"/>
                <w:rFonts w:eastAsia="Times New Roman"/>
                <w:sz w:val="18"/>
                <w:szCs w:val="18"/>
                <w:vertAlign w:val="superscript"/>
              </w:rPr>
              <w:t>1</w:t>
            </w:r>
          </w:p>
        </w:tc>
        <w:tc>
          <w:tcPr>
            <w:tcW w:w="384" w:type="pct"/>
            <w:hideMark/>
          </w:tcPr>
          <w:p w:rsidR="00ED12A8" w:rsidRPr="00495609" w:rsidRDefault="00555858">
            <w:pPr>
              <w:rPr>
                <w:rFonts w:eastAsia="Times New Roman"/>
                <w:sz w:val="18"/>
                <w:szCs w:val="18"/>
              </w:rPr>
            </w:pPr>
            <w:r w:rsidRPr="00495609">
              <w:rPr>
                <w:rStyle w:val="simple"/>
                <w:rFonts w:eastAsia="Times New Roman"/>
                <w:sz w:val="18"/>
                <w:szCs w:val="18"/>
              </w:rPr>
              <w:t>40 (5.3)</w:t>
            </w:r>
          </w:p>
        </w:tc>
        <w:tc>
          <w:tcPr>
            <w:tcW w:w="678" w:type="pct"/>
            <w:hideMark/>
          </w:tcPr>
          <w:p w:rsidR="00ED12A8" w:rsidRPr="00495609" w:rsidRDefault="00555858">
            <w:pPr>
              <w:rPr>
                <w:rFonts w:eastAsia="Times New Roman"/>
                <w:sz w:val="18"/>
                <w:szCs w:val="18"/>
              </w:rPr>
            </w:pPr>
            <w:r w:rsidRPr="00495609">
              <w:rPr>
                <w:rStyle w:val="simple"/>
                <w:rFonts w:eastAsia="Times New Roman"/>
                <w:sz w:val="18"/>
                <w:szCs w:val="18"/>
              </w:rPr>
              <w:t>13 (4.3)</w:t>
            </w:r>
          </w:p>
        </w:tc>
        <w:tc>
          <w:tcPr>
            <w:tcW w:w="828" w:type="pct"/>
            <w:hideMark/>
          </w:tcPr>
          <w:p w:rsidR="00ED12A8" w:rsidRPr="00495609" w:rsidRDefault="00555858">
            <w:pPr>
              <w:rPr>
                <w:rFonts w:eastAsia="Times New Roman"/>
                <w:sz w:val="18"/>
                <w:szCs w:val="18"/>
              </w:rPr>
            </w:pPr>
            <w:r w:rsidRPr="00495609">
              <w:rPr>
                <w:rStyle w:val="simple"/>
                <w:rFonts w:eastAsia="Times New Roman"/>
                <w:sz w:val="18"/>
                <w:szCs w:val="18"/>
              </w:rPr>
              <w:t>27 (6.1)</w:t>
            </w:r>
          </w:p>
        </w:tc>
        <w:tc>
          <w:tcPr>
            <w:tcW w:w="502" w:type="pct"/>
            <w:hideMark/>
          </w:tcPr>
          <w:p w:rsidR="00ED12A8" w:rsidRPr="00495609" w:rsidRDefault="00555858">
            <w:pPr>
              <w:rPr>
                <w:rFonts w:eastAsia="Times New Roman"/>
                <w:sz w:val="18"/>
                <w:szCs w:val="18"/>
              </w:rPr>
            </w:pPr>
            <w:r w:rsidRPr="00495609">
              <w:rPr>
                <w:rStyle w:val="simple"/>
                <w:rFonts w:eastAsia="Times New Roman"/>
                <w:sz w:val="18"/>
                <w:szCs w:val="18"/>
              </w:rPr>
              <w:t>2 (1.1)</w:t>
            </w:r>
          </w:p>
        </w:tc>
        <w:tc>
          <w:tcPr>
            <w:tcW w:w="590" w:type="pct"/>
            <w:hideMark/>
          </w:tcPr>
          <w:p w:rsidR="00ED12A8" w:rsidRPr="00495609" w:rsidRDefault="00555858">
            <w:pPr>
              <w:rPr>
                <w:rFonts w:eastAsia="Times New Roman"/>
                <w:sz w:val="18"/>
                <w:szCs w:val="18"/>
              </w:rPr>
            </w:pPr>
            <w:r w:rsidRPr="00495609">
              <w:rPr>
                <w:rStyle w:val="simple"/>
                <w:rFonts w:eastAsia="Times New Roman"/>
                <w:sz w:val="18"/>
                <w:szCs w:val="18"/>
              </w:rPr>
              <w:t>5 (4.4)</w:t>
            </w:r>
          </w:p>
        </w:tc>
        <w:tc>
          <w:tcPr>
            <w:tcW w:w="682" w:type="pct"/>
            <w:hideMark/>
          </w:tcPr>
          <w:p w:rsidR="00ED12A8" w:rsidRPr="00495609" w:rsidRDefault="00555858">
            <w:pPr>
              <w:rPr>
                <w:rFonts w:eastAsia="Times New Roman"/>
                <w:sz w:val="18"/>
                <w:szCs w:val="18"/>
              </w:rPr>
            </w:pPr>
            <w:r w:rsidRPr="00495609">
              <w:rPr>
                <w:rStyle w:val="simple"/>
                <w:rFonts w:eastAsia="Times New Roman"/>
                <w:sz w:val="18"/>
                <w:szCs w:val="18"/>
              </w:rPr>
              <w:t>20 (14.1)</w:t>
            </w:r>
          </w:p>
        </w:tc>
      </w:tr>
      <w:tr w:rsidR="00ED12A8" w:rsidRPr="00495609" w:rsidTr="00DC5BBA">
        <w:trPr>
          <w:tblHeader/>
          <w:jc w:val="center"/>
        </w:trPr>
        <w:tc>
          <w:tcPr>
            <w:tcW w:w="5000" w:type="pct"/>
            <w:gridSpan w:val="7"/>
            <w:hideMark/>
          </w:tcPr>
          <w:p w:rsidR="00ED12A8" w:rsidRPr="00495609" w:rsidRDefault="00555858">
            <w:pPr>
              <w:rPr>
                <w:rFonts w:eastAsia="Times New Roman"/>
                <w:sz w:val="18"/>
                <w:szCs w:val="18"/>
              </w:rPr>
            </w:pPr>
            <w:r w:rsidRPr="00495609">
              <w:rPr>
                <w:rStyle w:val="simple"/>
                <w:rFonts w:eastAsia="Times New Roman"/>
                <w:sz w:val="18"/>
                <w:szCs w:val="18"/>
              </w:rPr>
              <w:t>Education</w:t>
            </w:r>
          </w:p>
        </w:tc>
      </w:tr>
      <w:tr w:rsidR="00DC5BBA" w:rsidRPr="00495609" w:rsidTr="00DC5BBA">
        <w:trPr>
          <w:tblHeader/>
          <w:jc w:val="center"/>
        </w:trPr>
        <w:tc>
          <w:tcPr>
            <w:tcW w:w="1335" w:type="pct"/>
            <w:hideMark/>
          </w:tcPr>
          <w:p w:rsidR="00ED12A8" w:rsidRPr="00495609" w:rsidRDefault="00555858">
            <w:pPr>
              <w:rPr>
                <w:rFonts w:eastAsia="Times New Roman"/>
                <w:sz w:val="18"/>
                <w:szCs w:val="18"/>
              </w:rPr>
            </w:pPr>
            <w:r w:rsidRPr="00495609">
              <w:rPr>
                <w:rStyle w:val="simple"/>
                <w:rFonts w:eastAsia="Times New Roman"/>
                <w:sz w:val="18"/>
                <w:szCs w:val="18"/>
              </w:rPr>
              <w:t>     &lt;10 years of education</w:t>
            </w:r>
          </w:p>
        </w:tc>
        <w:tc>
          <w:tcPr>
            <w:tcW w:w="384" w:type="pct"/>
            <w:hideMark/>
          </w:tcPr>
          <w:p w:rsidR="00ED12A8" w:rsidRPr="00495609" w:rsidRDefault="00555858">
            <w:pPr>
              <w:rPr>
                <w:rFonts w:eastAsia="Times New Roman"/>
                <w:sz w:val="18"/>
                <w:szCs w:val="18"/>
              </w:rPr>
            </w:pPr>
            <w:r w:rsidRPr="00495609">
              <w:rPr>
                <w:rStyle w:val="simple"/>
                <w:rFonts w:eastAsia="Times New Roman"/>
                <w:sz w:val="18"/>
                <w:szCs w:val="18"/>
              </w:rPr>
              <w:t>120 (16.1)</w:t>
            </w:r>
          </w:p>
        </w:tc>
        <w:tc>
          <w:tcPr>
            <w:tcW w:w="678" w:type="pct"/>
            <w:hideMark/>
          </w:tcPr>
          <w:p w:rsidR="00ED12A8" w:rsidRPr="00495609" w:rsidRDefault="00555858">
            <w:pPr>
              <w:rPr>
                <w:rFonts w:eastAsia="Times New Roman"/>
                <w:sz w:val="18"/>
                <w:szCs w:val="18"/>
              </w:rPr>
            </w:pPr>
            <w:r w:rsidRPr="00495609">
              <w:rPr>
                <w:rStyle w:val="simple"/>
                <w:rFonts w:eastAsia="Times New Roman"/>
                <w:sz w:val="18"/>
                <w:szCs w:val="18"/>
              </w:rPr>
              <w:t>9 (3.0)</w:t>
            </w:r>
          </w:p>
        </w:tc>
        <w:tc>
          <w:tcPr>
            <w:tcW w:w="828" w:type="pct"/>
            <w:hideMark/>
          </w:tcPr>
          <w:p w:rsidR="00ED12A8" w:rsidRPr="00495609" w:rsidRDefault="00555858">
            <w:pPr>
              <w:rPr>
                <w:rFonts w:eastAsia="Times New Roman"/>
                <w:sz w:val="18"/>
                <w:szCs w:val="18"/>
              </w:rPr>
            </w:pPr>
            <w:r w:rsidRPr="00495609">
              <w:rPr>
                <w:rStyle w:val="simple"/>
                <w:rFonts w:eastAsia="Times New Roman"/>
                <w:sz w:val="18"/>
                <w:szCs w:val="18"/>
              </w:rPr>
              <w:t>111 (25.2)</w:t>
            </w:r>
          </w:p>
        </w:tc>
        <w:tc>
          <w:tcPr>
            <w:tcW w:w="502" w:type="pct"/>
            <w:hideMark/>
          </w:tcPr>
          <w:p w:rsidR="00ED12A8" w:rsidRPr="00495609" w:rsidRDefault="00555858">
            <w:pPr>
              <w:rPr>
                <w:rFonts w:eastAsia="Times New Roman"/>
                <w:sz w:val="18"/>
                <w:szCs w:val="18"/>
              </w:rPr>
            </w:pPr>
            <w:r w:rsidRPr="00495609">
              <w:rPr>
                <w:rStyle w:val="simple"/>
                <w:rFonts w:eastAsia="Times New Roman"/>
                <w:sz w:val="18"/>
                <w:szCs w:val="18"/>
              </w:rPr>
              <w:t>34 (18.1)</w:t>
            </w:r>
          </w:p>
        </w:tc>
        <w:tc>
          <w:tcPr>
            <w:tcW w:w="590" w:type="pct"/>
            <w:hideMark/>
          </w:tcPr>
          <w:p w:rsidR="00ED12A8" w:rsidRPr="00495609" w:rsidRDefault="00555858">
            <w:pPr>
              <w:rPr>
                <w:rFonts w:eastAsia="Times New Roman"/>
                <w:sz w:val="18"/>
                <w:szCs w:val="18"/>
              </w:rPr>
            </w:pPr>
            <w:r w:rsidRPr="00495609">
              <w:rPr>
                <w:rStyle w:val="simple"/>
                <w:rFonts w:eastAsia="Times New Roman"/>
                <w:sz w:val="18"/>
                <w:szCs w:val="18"/>
              </w:rPr>
              <w:t>42 (37.5)</w:t>
            </w:r>
          </w:p>
        </w:tc>
        <w:tc>
          <w:tcPr>
            <w:tcW w:w="682" w:type="pct"/>
            <w:hideMark/>
          </w:tcPr>
          <w:p w:rsidR="00ED12A8" w:rsidRPr="00495609" w:rsidRDefault="00555858">
            <w:pPr>
              <w:rPr>
                <w:rFonts w:eastAsia="Times New Roman"/>
                <w:sz w:val="18"/>
                <w:szCs w:val="18"/>
              </w:rPr>
            </w:pPr>
            <w:r w:rsidRPr="00495609">
              <w:rPr>
                <w:rStyle w:val="simple"/>
                <w:rFonts w:eastAsia="Times New Roman"/>
                <w:sz w:val="18"/>
                <w:szCs w:val="18"/>
              </w:rPr>
              <w:t>35 (24.8)</w:t>
            </w:r>
          </w:p>
        </w:tc>
      </w:tr>
      <w:tr w:rsidR="00DC5BBA" w:rsidRPr="00495609" w:rsidTr="00DC5BBA">
        <w:trPr>
          <w:tblHeader/>
          <w:jc w:val="center"/>
        </w:trPr>
        <w:tc>
          <w:tcPr>
            <w:tcW w:w="1335" w:type="pct"/>
            <w:hideMark/>
          </w:tcPr>
          <w:p w:rsidR="00ED12A8" w:rsidRPr="00495609" w:rsidRDefault="00555858">
            <w:pPr>
              <w:rPr>
                <w:rFonts w:eastAsia="Times New Roman"/>
                <w:sz w:val="18"/>
                <w:szCs w:val="18"/>
              </w:rPr>
            </w:pPr>
            <w:r w:rsidRPr="00495609">
              <w:rPr>
                <w:rStyle w:val="simple"/>
                <w:rFonts w:eastAsia="Times New Roman"/>
                <w:sz w:val="18"/>
                <w:szCs w:val="18"/>
              </w:rPr>
              <w:t>     10-12 years</w:t>
            </w:r>
          </w:p>
        </w:tc>
        <w:tc>
          <w:tcPr>
            <w:tcW w:w="384" w:type="pct"/>
            <w:hideMark/>
          </w:tcPr>
          <w:p w:rsidR="00ED12A8" w:rsidRPr="00495609" w:rsidRDefault="00555858">
            <w:pPr>
              <w:rPr>
                <w:rFonts w:eastAsia="Times New Roman"/>
                <w:sz w:val="18"/>
                <w:szCs w:val="18"/>
              </w:rPr>
            </w:pPr>
            <w:r w:rsidRPr="00495609">
              <w:rPr>
                <w:rStyle w:val="simple"/>
                <w:rFonts w:eastAsia="Times New Roman"/>
                <w:sz w:val="18"/>
                <w:szCs w:val="18"/>
              </w:rPr>
              <w:t>295 (39.7)</w:t>
            </w:r>
          </w:p>
        </w:tc>
        <w:tc>
          <w:tcPr>
            <w:tcW w:w="678" w:type="pct"/>
            <w:hideMark/>
          </w:tcPr>
          <w:p w:rsidR="00ED12A8" w:rsidRPr="00495609" w:rsidRDefault="00555858">
            <w:pPr>
              <w:rPr>
                <w:rFonts w:eastAsia="Times New Roman"/>
                <w:sz w:val="18"/>
                <w:szCs w:val="18"/>
              </w:rPr>
            </w:pPr>
            <w:r w:rsidRPr="00495609">
              <w:rPr>
                <w:rStyle w:val="simple"/>
                <w:rFonts w:eastAsia="Times New Roman"/>
                <w:sz w:val="18"/>
                <w:szCs w:val="18"/>
              </w:rPr>
              <w:t>95 (31.4)</w:t>
            </w:r>
          </w:p>
        </w:tc>
        <w:tc>
          <w:tcPr>
            <w:tcW w:w="828" w:type="pct"/>
            <w:hideMark/>
          </w:tcPr>
          <w:p w:rsidR="00ED12A8" w:rsidRPr="00495609" w:rsidRDefault="00555858">
            <w:pPr>
              <w:rPr>
                <w:rFonts w:eastAsia="Times New Roman"/>
                <w:sz w:val="18"/>
                <w:szCs w:val="18"/>
              </w:rPr>
            </w:pPr>
            <w:r w:rsidRPr="00495609">
              <w:rPr>
                <w:rStyle w:val="simple"/>
                <w:rFonts w:eastAsia="Times New Roman"/>
                <w:sz w:val="18"/>
                <w:szCs w:val="18"/>
              </w:rPr>
              <w:t>200 (45.4)</w:t>
            </w:r>
          </w:p>
        </w:tc>
        <w:tc>
          <w:tcPr>
            <w:tcW w:w="502" w:type="pct"/>
            <w:hideMark/>
          </w:tcPr>
          <w:p w:rsidR="00ED12A8" w:rsidRPr="00495609" w:rsidRDefault="00555858">
            <w:pPr>
              <w:rPr>
                <w:rFonts w:eastAsia="Times New Roman"/>
                <w:sz w:val="18"/>
                <w:szCs w:val="18"/>
              </w:rPr>
            </w:pPr>
            <w:r w:rsidRPr="00495609">
              <w:rPr>
                <w:rStyle w:val="simple"/>
                <w:rFonts w:eastAsia="Times New Roman"/>
                <w:sz w:val="18"/>
                <w:szCs w:val="18"/>
              </w:rPr>
              <w:t>93 (49.5)</w:t>
            </w:r>
          </w:p>
        </w:tc>
        <w:tc>
          <w:tcPr>
            <w:tcW w:w="590" w:type="pct"/>
            <w:hideMark/>
          </w:tcPr>
          <w:p w:rsidR="00ED12A8" w:rsidRPr="00495609" w:rsidRDefault="00555858">
            <w:pPr>
              <w:rPr>
                <w:rFonts w:eastAsia="Times New Roman"/>
                <w:sz w:val="18"/>
                <w:szCs w:val="18"/>
              </w:rPr>
            </w:pPr>
            <w:r w:rsidRPr="00495609">
              <w:rPr>
                <w:rStyle w:val="simple"/>
                <w:rFonts w:eastAsia="Times New Roman"/>
                <w:sz w:val="18"/>
                <w:szCs w:val="18"/>
              </w:rPr>
              <w:t>51 (45.5)</w:t>
            </w:r>
          </w:p>
        </w:tc>
        <w:tc>
          <w:tcPr>
            <w:tcW w:w="682" w:type="pct"/>
            <w:hideMark/>
          </w:tcPr>
          <w:p w:rsidR="00ED12A8" w:rsidRPr="00495609" w:rsidRDefault="00555858">
            <w:pPr>
              <w:rPr>
                <w:rFonts w:eastAsia="Times New Roman"/>
                <w:sz w:val="18"/>
                <w:szCs w:val="18"/>
              </w:rPr>
            </w:pPr>
            <w:r w:rsidRPr="00495609">
              <w:rPr>
                <w:rStyle w:val="simple"/>
                <w:rFonts w:eastAsia="Times New Roman"/>
                <w:sz w:val="18"/>
                <w:szCs w:val="18"/>
              </w:rPr>
              <w:t>56 (39.7)</w:t>
            </w:r>
          </w:p>
        </w:tc>
      </w:tr>
      <w:tr w:rsidR="00DC5BBA" w:rsidRPr="00495609" w:rsidTr="00DC5BBA">
        <w:trPr>
          <w:tblHeader/>
          <w:jc w:val="center"/>
        </w:trPr>
        <w:tc>
          <w:tcPr>
            <w:tcW w:w="1335" w:type="pct"/>
            <w:hideMark/>
          </w:tcPr>
          <w:p w:rsidR="00ED12A8" w:rsidRPr="00495609" w:rsidRDefault="00555858">
            <w:pPr>
              <w:rPr>
                <w:rFonts w:eastAsia="Times New Roman"/>
                <w:sz w:val="18"/>
                <w:szCs w:val="18"/>
              </w:rPr>
            </w:pPr>
            <w:r w:rsidRPr="00495609">
              <w:rPr>
                <w:rStyle w:val="simple"/>
                <w:rFonts w:eastAsia="Times New Roman"/>
                <w:sz w:val="18"/>
                <w:szCs w:val="18"/>
              </w:rPr>
              <w:t>     13-16 years</w:t>
            </w:r>
          </w:p>
        </w:tc>
        <w:tc>
          <w:tcPr>
            <w:tcW w:w="384" w:type="pct"/>
            <w:hideMark/>
          </w:tcPr>
          <w:p w:rsidR="00ED12A8" w:rsidRPr="00495609" w:rsidRDefault="00555858">
            <w:pPr>
              <w:rPr>
                <w:rFonts w:eastAsia="Times New Roman"/>
                <w:sz w:val="18"/>
                <w:szCs w:val="18"/>
              </w:rPr>
            </w:pPr>
            <w:r w:rsidRPr="00495609">
              <w:rPr>
                <w:rStyle w:val="simple"/>
                <w:rFonts w:eastAsia="Times New Roman"/>
                <w:sz w:val="18"/>
                <w:szCs w:val="18"/>
              </w:rPr>
              <w:t>229 (30.8)</w:t>
            </w:r>
          </w:p>
        </w:tc>
        <w:tc>
          <w:tcPr>
            <w:tcW w:w="678" w:type="pct"/>
            <w:hideMark/>
          </w:tcPr>
          <w:p w:rsidR="00ED12A8" w:rsidRPr="00495609" w:rsidRDefault="00555858">
            <w:pPr>
              <w:rPr>
                <w:rFonts w:eastAsia="Times New Roman"/>
                <w:sz w:val="18"/>
                <w:szCs w:val="18"/>
              </w:rPr>
            </w:pPr>
            <w:r w:rsidRPr="00495609">
              <w:rPr>
                <w:rStyle w:val="simple"/>
                <w:rFonts w:eastAsia="Times New Roman"/>
                <w:sz w:val="18"/>
                <w:szCs w:val="18"/>
              </w:rPr>
              <w:t>126 (41.6)</w:t>
            </w:r>
          </w:p>
        </w:tc>
        <w:tc>
          <w:tcPr>
            <w:tcW w:w="828" w:type="pct"/>
            <w:hideMark/>
          </w:tcPr>
          <w:p w:rsidR="00ED12A8" w:rsidRPr="00495609" w:rsidRDefault="00555858">
            <w:pPr>
              <w:rPr>
                <w:rFonts w:eastAsia="Times New Roman"/>
                <w:sz w:val="18"/>
                <w:szCs w:val="18"/>
              </w:rPr>
            </w:pPr>
            <w:r w:rsidRPr="00495609">
              <w:rPr>
                <w:rStyle w:val="simple"/>
                <w:rFonts w:eastAsia="Times New Roman"/>
                <w:sz w:val="18"/>
                <w:szCs w:val="18"/>
              </w:rPr>
              <w:t>103 (23.4)</w:t>
            </w:r>
          </w:p>
        </w:tc>
        <w:tc>
          <w:tcPr>
            <w:tcW w:w="502" w:type="pct"/>
            <w:hideMark/>
          </w:tcPr>
          <w:p w:rsidR="00ED12A8" w:rsidRPr="00495609" w:rsidRDefault="00555858">
            <w:pPr>
              <w:rPr>
                <w:rFonts w:eastAsia="Times New Roman"/>
                <w:sz w:val="18"/>
                <w:szCs w:val="18"/>
              </w:rPr>
            </w:pPr>
            <w:r w:rsidRPr="00495609">
              <w:rPr>
                <w:rStyle w:val="simple"/>
                <w:rFonts w:eastAsia="Times New Roman"/>
                <w:sz w:val="18"/>
                <w:szCs w:val="18"/>
              </w:rPr>
              <w:t>48 (25.5)</w:t>
            </w:r>
          </w:p>
        </w:tc>
        <w:tc>
          <w:tcPr>
            <w:tcW w:w="590" w:type="pct"/>
            <w:hideMark/>
          </w:tcPr>
          <w:p w:rsidR="00ED12A8" w:rsidRPr="00495609" w:rsidRDefault="00555858">
            <w:pPr>
              <w:rPr>
                <w:rFonts w:eastAsia="Times New Roman"/>
                <w:sz w:val="18"/>
                <w:szCs w:val="18"/>
              </w:rPr>
            </w:pPr>
            <w:r w:rsidRPr="00495609">
              <w:rPr>
                <w:rStyle w:val="simple"/>
                <w:rFonts w:eastAsia="Times New Roman"/>
                <w:sz w:val="18"/>
                <w:szCs w:val="18"/>
              </w:rPr>
              <w:t>16 (14.3)</w:t>
            </w:r>
          </w:p>
        </w:tc>
        <w:tc>
          <w:tcPr>
            <w:tcW w:w="682" w:type="pct"/>
            <w:hideMark/>
          </w:tcPr>
          <w:p w:rsidR="00ED12A8" w:rsidRPr="00495609" w:rsidRDefault="00555858">
            <w:pPr>
              <w:rPr>
                <w:rFonts w:eastAsia="Times New Roman"/>
                <w:sz w:val="18"/>
                <w:szCs w:val="18"/>
              </w:rPr>
            </w:pPr>
            <w:r w:rsidRPr="00495609">
              <w:rPr>
                <w:rStyle w:val="simple"/>
                <w:rFonts w:eastAsia="Times New Roman"/>
                <w:sz w:val="18"/>
                <w:szCs w:val="18"/>
              </w:rPr>
              <w:t>39 (27.7)</w:t>
            </w:r>
          </w:p>
        </w:tc>
      </w:tr>
      <w:tr w:rsidR="00DC5BBA" w:rsidRPr="00495609" w:rsidTr="00DC5BBA">
        <w:trPr>
          <w:tblHeader/>
          <w:jc w:val="center"/>
        </w:trPr>
        <w:tc>
          <w:tcPr>
            <w:tcW w:w="1335" w:type="pct"/>
            <w:hideMark/>
          </w:tcPr>
          <w:p w:rsidR="00ED12A8" w:rsidRPr="00495609" w:rsidRDefault="00555858">
            <w:pPr>
              <w:rPr>
                <w:rFonts w:eastAsia="Times New Roman"/>
                <w:sz w:val="18"/>
                <w:szCs w:val="18"/>
              </w:rPr>
            </w:pPr>
            <w:r w:rsidRPr="00495609">
              <w:rPr>
                <w:rStyle w:val="simple"/>
                <w:rFonts w:eastAsia="Times New Roman"/>
                <w:sz w:val="18"/>
                <w:szCs w:val="18"/>
              </w:rPr>
              <w:t>     university/college</w:t>
            </w:r>
          </w:p>
        </w:tc>
        <w:tc>
          <w:tcPr>
            <w:tcW w:w="384" w:type="pct"/>
            <w:hideMark/>
          </w:tcPr>
          <w:p w:rsidR="00ED12A8" w:rsidRPr="00495609" w:rsidRDefault="00555858">
            <w:pPr>
              <w:rPr>
                <w:rFonts w:eastAsia="Times New Roman"/>
                <w:sz w:val="18"/>
                <w:szCs w:val="18"/>
              </w:rPr>
            </w:pPr>
            <w:r w:rsidRPr="00495609">
              <w:rPr>
                <w:rStyle w:val="simple"/>
                <w:rFonts w:eastAsia="Times New Roman"/>
                <w:sz w:val="18"/>
                <w:szCs w:val="18"/>
              </w:rPr>
              <w:t>100(13.5)</w:t>
            </w:r>
          </w:p>
        </w:tc>
        <w:tc>
          <w:tcPr>
            <w:tcW w:w="678" w:type="pct"/>
            <w:hideMark/>
          </w:tcPr>
          <w:p w:rsidR="00ED12A8" w:rsidRPr="00495609" w:rsidRDefault="00555858">
            <w:pPr>
              <w:rPr>
                <w:rFonts w:eastAsia="Times New Roman"/>
                <w:sz w:val="18"/>
                <w:szCs w:val="18"/>
              </w:rPr>
            </w:pPr>
            <w:r w:rsidRPr="00495609">
              <w:rPr>
                <w:rStyle w:val="simple"/>
                <w:rFonts w:eastAsia="Times New Roman"/>
                <w:sz w:val="18"/>
                <w:szCs w:val="18"/>
              </w:rPr>
              <w:t>73 (24.1)</w:t>
            </w:r>
          </w:p>
        </w:tc>
        <w:tc>
          <w:tcPr>
            <w:tcW w:w="828" w:type="pct"/>
            <w:hideMark/>
          </w:tcPr>
          <w:p w:rsidR="00ED12A8" w:rsidRPr="00495609" w:rsidRDefault="00555858">
            <w:pPr>
              <w:rPr>
                <w:rFonts w:eastAsia="Times New Roman"/>
                <w:sz w:val="18"/>
                <w:szCs w:val="18"/>
              </w:rPr>
            </w:pPr>
            <w:r w:rsidRPr="00495609">
              <w:rPr>
                <w:rStyle w:val="simple"/>
                <w:rFonts w:eastAsia="Times New Roman"/>
                <w:sz w:val="18"/>
                <w:szCs w:val="18"/>
              </w:rPr>
              <w:t>27 (6.1)</w:t>
            </w:r>
          </w:p>
        </w:tc>
        <w:tc>
          <w:tcPr>
            <w:tcW w:w="502" w:type="pct"/>
            <w:hideMark/>
          </w:tcPr>
          <w:p w:rsidR="00ED12A8" w:rsidRPr="00495609" w:rsidRDefault="00555858">
            <w:pPr>
              <w:rPr>
                <w:rFonts w:eastAsia="Times New Roman"/>
                <w:sz w:val="18"/>
                <w:szCs w:val="18"/>
              </w:rPr>
            </w:pPr>
            <w:r w:rsidRPr="00495609">
              <w:rPr>
                <w:rStyle w:val="simple"/>
                <w:rFonts w:eastAsia="Times New Roman"/>
                <w:sz w:val="18"/>
                <w:szCs w:val="18"/>
              </w:rPr>
              <w:t>13 (6.9)</w:t>
            </w:r>
          </w:p>
        </w:tc>
        <w:tc>
          <w:tcPr>
            <w:tcW w:w="590" w:type="pct"/>
            <w:hideMark/>
          </w:tcPr>
          <w:p w:rsidR="00ED12A8" w:rsidRPr="00495609" w:rsidRDefault="00555858">
            <w:pPr>
              <w:rPr>
                <w:rFonts w:eastAsia="Times New Roman"/>
                <w:sz w:val="18"/>
                <w:szCs w:val="18"/>
              </w:rPr>
            </w:pPr>
            <w:r w:rsidRPr="00495609">
              <w:rPr>
                <w:rStyle w:val="simple"/>
                <w:rFonts w:eastAsia="Times New Roman"/>
                <w:sz w:val="18"/>
                <w:szCs w:val="18"/>
              </w:rPr>
              <w:t>3 (2.7)</w:t>
            </w:r>
          </w:p>
        </w:tc>
        <w:tc>
          <w:tcPr>
            <w:tcW w:w="682" w:type="pct"/>
            <w:hideMark/>
          </w:tcPr>
          <w:p w:rsidR="00ED12A8" w:rsidRPr="00495609" w:rsidRDefault="00555858">
            <w:pPr>
              <w:rPr>
                <w:rFonts w:eastAsia="Times New Roman"/>
                <w:sz w:val="18"/>
                <w:szCs w:val="18"/>
              </w:rPr>
            </w:pPr>
            <w:r w:rsidRPr="00495609">
              <w:rPr>
                <w:rStyle w:val="simple"/>
                <w:rFonts w:eastAsia="Times New Roman"/>
                <w:sz w:val="18"/>
                <w:szCs w:val="18"/>
              </w:rPr>
              <w:t>11 (7.8)</w:t>
            </w:r>
          </w:p>
        </w:tc>
      </w:tr>
      <w:tr w:rsidR="00DC5BBA" w:rsidRPr="00495609" w:rsidTr="00DC5BBA">
        <w:trPr>
          <w:tblHeader/>
          <w:jc w:val="center"/>
        </w:trPr>
        <w:tc>
          <w:tcPr>
            <w:tcW w:w="1335" w:type="pct"/>
            <w:hideMark/>
          </w:tcPr>
          <w:p w:rsidR="00ED12A8" w:rsidRPr="00495609" w:rsidRDefault="00555858">
            <w:pPr>
              <w:rPr>
                <w:rFonts w:eastAsia="Times New Roman"/>
                <w:sz w:val="18"/>
                <w:szCs w:val="18"/>
              </w:rPr>
            </w:pPr>
            <w:r w:rsidRPr="00495609">
              <w:rPr>
                <w:rStyle w:val="simple"/>
                <w:rFonts w:eastAsia="Times New Roman"/>
                <w:sz w:val="18"/>
                <w:szCs w:val="18"/>
              </w:rPr>
              <w:t>Unemployed in pre-pregnancy</w:t>
            </w:r>
          </w:p>
        </w:tc>
        <w:tc>
          <w:tcPr>
            <w:tcW w:w="384" w:type="pct"/>
            <w:hideMark/>
          </w:tcPr>
          <w:p w:rsidR="00ED12A8" w:rsidRPr="00495609" w:rsidRDefault="00555858">
            <w:pPr>
              <w:rPr>
                <w:rFonts w:eastAsia="Times New Roman"/>
                <w:sz w:val="18"/>
                <w:szCs w:val="18"/>
              </w:rPr>
            </w:pPr>
            <w:r w:rsidRPr="00495609">
              <w:rPr>
                <w:rStyle w:val="simple"/>
                <w:rFonts w:eastAsia="Times New Roman"/>
                <w:sz w:val="18"/>
                <w:szCs w:val="18"/>
              </w:rPr>
              <w:t>219 (29.5)</w:t>
            </w:r>
          </w:p>
        </w:tc>
        <w:tc>
          <w:tcPr>
            <w:tcW w:w="678" w:type="pct"/>
            <w:hideMark/>
          </w:tcPr>
          <w:p w:rsidR="00ED12A8" w:rsidRPr="00495609" w:rsidRDefault="00555858">
            <w:pPr>
              <w:rPr>
                <w:rFonts w:eastAsia="Times New Roman"/>
                <w:sz w:val="18"/>
                <w:szCs w:val="18"/>
              </w:rPr>
            </w:pPr>
            <w:r w:rsidRPr="00495609">
              <w:rPr>
                <w:rStyle w:val="simple"/>
                <w:rFonts w:eastAsia="Times New Roman"/>
                <w:sz w:val="18"/>
                <w:szCs w:val="18"/>
              </w:rPr>
              <w:t>36 (11.9)</w:t>
            </w:r>
          </w:p>
        </w:tc>
        <w:tc>
          <w:tcPr>
            <w:tcW w:w="828" w:type="pct"/>
            <w:hideMark/>
          </w:tcPr>
          <w:p w:rsidR="00ED12A8" w:rsidRPr="00495609" w:rsidRDefault="00555858">
            <w:pPr>
              <w:rPr>
                <w:rFonts w:eastAsia="Times New Roman"/>
                <w:sz w:val="18"/>
                <w:szCs w:val="18"/>
              </w:rPr>
            </w:pPr>
            <w:r w:rsidRPr="00495609">
              <w:rPr>
                <w:rStyle w:val="simple"/>
                <w:rFonts w:eastAsia="Times New Roman"/>
                <w:sz w:val="18"/>
                <w:szCs w:val="18"/>
              </w:rPr>
              <w:t>183 (41.7)</w:t>
            </w:r>
          </w:p>
        </w:tc>
        <w:tc>
          <w:tcPr>
            <w:tcW w:w="502" w:type="pct"/>
            <w:hideMark/>
          </w:tcPr>
          <w:p w:rsidR="00ED12A8" w:rsidRPr="00495609" w:rsidRDefault="00555858">
            <w:pPr>
              <w:rPr>
                <w:rFonts w:eastAsia="Times New Roman"/>
                <w:sz w:val="18"/>
                <w:szCs w:val="18"/>
              </w:rPr>
            </w:pPr>
            <w:r w:rsidRPr="00495609">
              <w:rPr>
                <w:rStyle w:val="simple"/>
                <w:rFonts w:eastAsia="Times New Roman"/>
                <w:sz w:val="18"/>
                <w:szCs w:val="18"/>
              </w:rPr>
              <w:t>71 (38.0)</w:t>
            </w:r>
          </w:p>
        </w:tc>
        <w:tc>
          <w:tcPr>
            <w:tcW w:w="590" w:type="pct"/>
            <w:hideMark/>
          </w:tcPr>
          <w:p w:rsidR="00ED12A8" w:rsidRPr="00495609" w:rsidRDefault="00555858">
            <w:pPr>
              <w:rPr>
                <w:rFonts w:eastAsia="Times New Roman"/>
                <w:sz w:val="18"/>
                <w:szCs w:val="18"/>
              </w:rPr>
            </w:pPr>
            <w:r w:rsidRPr="00495609">
              <w:rPr>
                <w:rStyle w:val="simple"/>
                <w:rFonts w:eastAsia="Times New Roman"/>
                <w:sz w:val="18"/>
                <w:szCs w:val="18"/>
              </w:rPr>
              <w:t>59 (52.2)</w:t>
            </w:r>
          </w:p>
        </w:tc>
        <w:tc>
          <w:tcPr>
            <w:tcW w:w="682" w:type="pct"/>
            <w:hideMark/>
          </w:tcPr>
          <w:p w:rsidR="00ED12A8" w:rsidRPr="00495609" w:rsidRDefault="00555858">
            <w:pPr>
              <w:rPr>
                <w:rFonts w:eastAsia="Times New Roman"/>
                <w:sz w:val="18"/>
                <w:szCs w:val="18"/>
              </w:rPr>
            </w:pPr>
            <w:r w:rsidRPr="00495609">
              <w:rPr>
                <w:rStyle w:val="simple"/>
                <w:rFonts w:eastAsia="Times New Roman"/>
                <w:sz w:val="18"/>
                <w:szCs w:val="18"/>
              </w:rPr>
              <w:t>53 (38.1)</w:t>
            </w:r>
          </w:p>
        </w:tc>
      </w:tr>
      <w:tr w:rsidR="00DC5BBA" w:rsidRPr="00495609" w:rsidTr="00DC5BBA">
        <w:trPr>
          <w:tblHeader/>
          <w:jc w:val="center"/>
        </w:trPr>
        <w:tc>
          <w:tcPr>
            <w:tcW w:w="1335" w:type="pct"/>
            <w:hideMark/>
          </w:tcPr>
          <w:p w:rsidR="00ED12A8" w:rsidRPr="00495609" w:rsidRDefault="00555858">
            <w:pPr>
              <w:rPr>
                <w:rFonts w:eastAsia="Times New Roman"/>
                <w:sz w:val="18"/>
                <w:szCs w:val="18"/>
              </w:rPr>
            </w:pPr>
            <w:r w:rsidRPr="00495609">
              <w:rPr>
                <w:rStyle w:val="simple"/>
                <w:rFonts w:eastAsia="Times New Roman"/>
                <w:sz w:val="18"/>
                <w:szCs w:val="18"/>
              </w:rPr>
              <w:t>Proportion with low score for socioeconomic position</w:t>
            </w:r>
          </w:p>
        </w:tc>
        <w:tc>
          <w:tcPr>
            <w:tcW w:w="384" w:type="pct"/>
            <w:hideMark/>
          </w:tcPr>
          <w:p w:rsidR="00ED12A8" w:rsidRPr="00495609" w:rsidRDefault="00555858">
            <w:pPr>
              <w:rPr>
                <w:rFonts w:eastAsia="Times New Roman"/>
                <w:sz w:val="18"/>
                <w:szCs w:val="18"/>
              </w:rPr>
            </w:pPr>
            <w:r w:rsidRPr="00495609">
              <w:rPr>
                <w:rStyle w:val="simple"/>
                <w:rFonts w:eastAsia="Times New Roman"/>
                <w:sz w:val="18"/>
                <w:szCs w:val="18"/>
              </w:rPr>
              <w:t>294 (39.3)</w:t>
            </w:r>
          </w:p>
        </w:tc>
        <w:tc>
          <w:tcPr>
            <w:tcW w:w="678" w:type="pct"/>
            <w:hideMark/>
          </w:tcPr>
          <w:p w:rsidR="00ED12A8" w:rsidRPr="00495609" w:rsidRDefault="00555858">
            <w:pPr>
              <w:rPr>
                <w:rFonts w:eastAsia="Times New Roman"/>
                <w:sz w:val="18"/>
                <w:szCs w:val="18"/>
              </w:rPr>
            </w:pPr>
            <w:r w:rsidRPr="00495609">
              <w:rPr>
                <w:rStyle w:val="simple"/>
                <w:rFonts w:eastAsia="Times New Roman"/>
                <w:sz w:val="18"/>
                <w:szCs w:val="18"/>
              </w:rPr>
              <w:t>61 (20)</w:t>
            </w:r>
          </w:p>
        </w:tc>
        <w:tc>
          <w:tcPr>
            <w:tcW w:w="828" w:type="pct"/>
            <w:hideMark/>
          </w:tcPr>
          <w:p w:rsidR="00ED12A8" w:rsidRPr="00495609" w:rsidRDefault="00555858">
            <w:pPr>
              <w:rPr>
                <w:rFonts w:eastAsia="Times New Roman"/>
                <w:sz w:val="18"/>
                <w:szCs w:val="18"/>
              </w:rPr>
            </w:pPr>
            <w:r w:rsidRPr="00495609">
              <w:rPr>
                <w:rStyle w:val="simple"/>
                <w:rFonts w:eastAsia="Times New Roman"/>
                <w:sz w:val="18"/>
                <w:szCs w:val="18"/>
              </w:rPr>
              <w:t>233 (52.5)</w:t>
            </w:r>
          </w:p>
        </w:tc>
        <w:tc>
          <w:tcPr>
            <w:tcW w:w="502" w:type="pct"/>
            <w:hideMark/>
          </w:tcPr>
          <w:p w:rsidR="00ED12A8" w:rsidRPr="00495609" w:rsidRDefault="00555858">
            <w:pPr>
              <w:rPr>
                <w:rFonts w:eastAsia="Times New Roman"/>
                <w:sz w:val="18"/>
                <w:szCs w:val="18"/>
              </w:rPr>
            </w:pPr>
            <w:r w:rsidRPr="00495609">
              <w:rPr>
                <w:rStyle w:val="simple"/>
                <w:rFonts w:eastAsia="Times New Roman"/>
                <w:sz w:val="18"/>
                <w:szCs w:val="18"/>
              </w:rPr>
              <w:t>88 (46.6)</w:t>
            </w:r>
          </w:p>
        </w:tc>
        <w:tc>
          <w:tcPr>
            <w:tcW w:w="590" w:type="pct"/>
            <w:hideMark/>
          </w:tcPr>
          <w:p w:rsidR="00ED12A8" w:rsidRPr="00495609" w:rsidRDefault="00555858">
            <w:pPr>
              <w:rPr>
                <w:rFonts w:eastAsia="Times New Roman"/>
                <w:sz w:val="18"/>
                <w:szCs w:val="18"/>
              </w:rPr>
            </w:pPr>
            <w:r w:rsidRPr="00495609">
              <w:rPr>
                <w:rStyle w:val="simple"/>
                <w:rFonts w:eastAsia="Times New Roman"/>
                <w:sz w:val="18"/>
                <w:szCs w:val="18"/>
              </w:rPr>
              <w:t>72 (63.7)</w:t>
            </w:r>
          </w:p>
        </w:tc>
        <w:tc>
          <w:tcPr>
            <w:tcW w:w="682" w:type="pct"/>
            <w:hideMark/>
          </w:tcPr>
          <w:p w:rsidR="00ED12A8" w:rsidRPr="00495609" w:rsidRDefault="00555858">
            <w:pPr>
              <w:rPr>
                <w:rFonts w:eastAsia="Times New Roman"/>
                <w:sz w:val="18"/>
                <w:szCs w:val="18"/>
              </w:rPr>
            </w:pPr>
            <w:r w:rsidRPr="00495609">
              <w:rPr>
                <w:rStyle w:val="simple"/>
                <w:rFonts w:eastAsia="Times New Roman"/>
                <w:sz w:val="18"/>
                <w:szCs w:val="18"/>
              </w:rPr>
              <w:t>73 (51.4)</w:t>
            </w:r>
          </w:p>
        </w:tc>
      </w:tr>
      <w:tr w:rsidR="00DC5BBA" w:rsidRPr="00495609" w:rsidTr="00DC5BBA">
        <w:trPr>
          <w:tblHeader/>
          <w:jc w:val="center"/>
        </w:trPr>
        <w:tc>
          <w:tcPr>
            <w:tcW w:w="1335" w:type="pct"/>
            <w:hideMark/>
          </w:tcPr>
          <w:p w:rsidR="00ED12A8" w:rsidRPr="00495609" w:rsidRDefault="00555858">
            <w:pPr>
              <w:rPr>
                <w:rFonts w:eastAsia="Times New Roman"/>
                <w:sz w:val="18"/>
                <w:szCs w:val="18"/>
              </w:rPr>
            </w:pPr>
            <w:r w:rsidRPr="00495609">
              <w:rPr>
                <w:rStyle w:val="simple"/>
                <w:rFonts w:eastAsia="Times New Roman"/>
                <w:sz w:val="18"/>
                <w:szCs w:val="18"/>
              </w:rPr>
              <w:t>Proportion with low score for social integration</w:t>
            </w:r>
          </w:p>
        </w:tc>
        <w:tc>
          <w:tcPr>
            <w:tcW w:w="384" w:type="pct"/>
            <w:hideMark/>
          </w:tcPr>
          <w:p w:rsidR="00ED12A8" w:rsidRPr="00495609" w:rsidRDefault="00555858">
            <w:pPr>
              <w:rPr>
                <w:rFonts w:eastAsia="Times New Roman"/>
                <w:sz w:val="18"/>
                <w:szCs w:val="18"/>
              </w:rPr>
            </w:pPr>
            <w:r w:rsidRPr="00495609">
              <w:rPr>
                <w:rStyle w:val="simple"/>
                <w:rFonts w:eastAsia="Times New Roman"/>
                <w:sz w:val="18"/>
                <w:szCs w:val="18"/>
              </w:rPr>
              <w:t>300 (40.1)</w:t>
            </w:r>
          </w:p>
        </w:tc>
        <w:tc>
          <w:tcPr>
            <w:tcW w:w="678" w:type="pct"/>
            <w:hideMark/>
          </w:tcPr>
          <w:p w:rsidR="00ED12A8" w:rsidRPr="00495609" w:rsidRDefault="00555858">
            <w:pPr>
              <w:rPr>
                <w:rFonts w:eastAsia="Times New Roman"/>
                <w:sz w:val="18"/>
                <w:szCs w:val="18"/>
              </w:rPr>
            </w:pPr>
            <w:r w:rsidRPr="00495609">
              <w:rPr>
                <w:rStyle w:val="simple"/>
                <w:rFonts w:eastAsia="Times New Roman"/>
                <w:sz w:val="18"/>
                <w:szCs w:val="18"/>
              </w:rPr>
              <w:t>17(5.6)</w:t>
            </w:r>
          </w:p>
        </w:tc>
        <w:tc>
          <w:tcPr>
            <w:tcW w:w="828" w:type="pct"/>
            <w:hideMark/>
          </w:tcPr>
          <w:p w:rsidR="00ED12A8" w:rsidRPr="00495609" w:rsidRDefault="00555858">
            <w:pPr>
              <w:rPr>
                <w:rFonts w:eastAsia="Times New Roman"/>
                <w:sz w:val="18"/>
                <w:szCs w:val="18"/>
              </w:rPr>
            </w:pPr>
            <w:r w:rsidRPr="00495609">
              <w:rPr>
                <w:rStyle w:val="simple"/>
                <w:rFonts w:eastAsia="Times New Roman"/>
                <w:sz w:val="18"/>
                <w:szCs w:val="18"/>
              </w:rPr>
              <w:t>283 (63.7)</w:t>
            </w:r>
          </w:p>
        </w:tc>
        <w:tc>
          <w:tcPr>
            <w:tcW w:w="502" w:type="pct"/>
            <w:hideMark/>
          </w:tcPr>
          <w:p w:rsidR="00ED12A8" w:rsidRPr="00495609" w:rsidRDefault="00555858">
            <w:pPr>
              <w:rPr>
                <w:rFonts w:eastAsia="Times New Roman"/>
                <w:sz w:val="18"/>
                <w:szCs w:val="18"/>
              </w:rPr>
            </w:pPr>
            <w:r w:rsidRPr="00495609">
              <w:rPr>
                <w:rStyle w:val="simple"/>
                <w:rFonts w:eastAsia="Times New Roman"/>
                <w:sz w:val="18"/>
                <w:szCs w:val="18"/>
              </w:rPr>
              <w:t>122 (64.6)</w:t>
            </w:r>
          </w:p>
        </w:tc>
        <w:tc>
          <w:tcPr>
            <w:tcW w:w="590" w:type="pct"/>
            <w:hideMark/>
          </w:tcPr>
          <w:p w:rsidR="00ED12A8" w:rsidRPr="00495609" w:rsidRDefault="00555858">
            <w:pPr>
              <w:rPr>
                <w:rFonts w:eastAsia="Times New Roman"/>
                <w:sz w:val="18"/>
                <w:szCs w:val="18"/>
              </w:rPr>
            </w:pPr>
            <w:r w:rsidRPr="00495609">
              <w:rPr>
                <w:rStyle w:val="simple"/>
                <w:rFonts w:eastAsia="Times New Roman"/>
                <w:sz w:val="18"/>
                <w:szCs w:val="18"/>
              </w:rPr>
              <w:t>73 (64.6)</w:t>
            </w:r>
          </w:p>
        </w:tc>
        <w:tc>
          <w:tcPr>
            <w:tcW w:w="682" w:type="pct"/>
            <w:hideMark/>
          </w:tcPr>
          <w:p w:rsidR="00ED12A8" w:rsidRPr="00495609" w:rsidRDefault="00555858">
            <w:pPr>
              <w:rPr>
                <w:rFonts w:eastAsia="Times New Roman"/>
                <w:sz w:val="18"/>
                <w:szCs w:val="18"/>
              </w:rPr>
            </w:pPr>
            <w:r w:rsidRPr="00495609">
              <w:rPr>
                <w:rStyle w:val="simple"/>
                <w:rFonts w:eastAsia="Times New Roman"/>
                <w:sz w:val="18"/>
                <w:szCs w:val="18"/>
              </w:rPr>
              <w:t>88 (62.0)</w:t>
            </w:r>
          </w:p>
        </w:tc>
      </w:tr>
      <w:tr w:rsidR="00ED12A8" w:rsidRPr="00495609" w:rsidTr="00DC5BBA">
        <w:trPr>
          <w:tblHeader/>
          <w:jc w:val="center"/>
        </w:trPr>
        <w:tc>
          <w:tcPr>
            <w:tcW w:w="5000" w:type="pct"/>
            <w:gridSpan w:val="7"/>
            <w:hideMark/>
          </w:tcPr>
          <w:p w:rsidR="00ED12A8" w:rsidRPr="00495609" w:rsidRDefault="00555858">
            <w:pPr>
              <w:rPr>
                <w:rFonts w:eastAsia="Times New Roman"/>
                <w:sz w:val="18"/>
                <w:szCs w:val="18"/>
              </w:rPr>
            </w:pPr>
            <w:r w:rsidRPr="00495609">
              <w:rPr>
                <w:rStyle w:val="simple"/>
                <w:rFonts w:eastAsia="Times New Roman"/>
                <w:sz w:val="18"/>
                <w:szCs w:val="18"/>
              </w:rPr>
              <w:t>Self-reported adverse life events at inclusion</w:t>
            </w:r>
            <w:r w:rsidRPr="00495609">
              <w:rPr>
                <w:rStyle w:val="simple"/>
                <w:rFonts w:eastAsia="Times New Roman"/>
                <w:sz w:val="18"/>
                <w:szCs w:val="18"/>
                <w:vertAlign w:val="superscript"/>
              </w:rPr>
              <w:t>2</w:t>
            </w:r>
          </w:p>
        </w:tc>
      </w:tr>
      <w:tr w:rsidR="00DC5BBA" w:rsidRPr="00495609" w:rsidTr="00DC5BBA">
        <w:trPr>
          <w:tblHeader/>
          <w:jc w:val="center"/>
        </w:trPr>
        <w:tc>
          <w:tcPr>
            <w:tcW w:w="1335" w:type="pct"/>
            <w:hideMark/>
          </w:tcPr>
          <w:p w:rsidR="00ED12A8" w:rsidRPr="00495609" w:rsidRDefault="00555858">
            <w:pPr>
              <w:rPr>
                <w:rFonts w:eastAsia="Times New Roman"/>
                <w:sz w:val="18"/>
                <w:szCs w:val="18"/>
              </w:rPr>
            </w:pPr>
            <w:r w:rsidRPr="00495609">
              <w:rPr>
                <w:rStyle w:val="simple"/>
                <w:rFonts w:eastAsia="Times New Roman"/>
                <w:sz w:val="18"/>
                <w:szCs w:val="18"/>
              </w:rPr>
              <w:t>     ≥2 events</w:t>
            </w:r>
          </w:p>
        </w:tc>
        <w:tc>
          <w:tcPr>
            <w:tcW w:w="384" w:type="pct"/>
            <w:hideMark/>
          </w:tcPr>
          <w:p w:rsidR="00ED12A8" w:rsidRPr="00495609" w:rsidRDefault="00555858">
            <w:pPr>
              <w:rPr>
                <w:rFonts w:eastAsia="Times New Roman"/>
                <w:sz w:val="18"/>
                <w:szCs w:val="18"/>
              </w:rPr>
            </w:pPr>
            <w:r w:rsidRPr="00495609">
              <w:rPr>
                <w:rStyle w:val="simple"/>
                <w:rFonts w:eastAsia="Times New Roman"/>
                <w:sz w:val="18"/>
                <w:szCs w:val="18"/>
              </w:rPr>
              <w:t>66 (9.1)</w:t>
            </w:r>
          </w:p>
        </w:tc>
        <w:tc>
          <w:tcPr>
            <w:tcW w:w="678" w:type="pct"/>
            <w:hideMark/>
          </w:tcPr>
          <w:p w:rsidR="00ED12A8" w:rsidRPr="00495609" w:rsidRDefault="00555858">
            <w:pPr>
              <w:rPr>
                <w:rFonts w:eastAsia="Times New Roman"/>
                <w:sz w:val="18"/>
                <w:szCs w:val="18"/>
              </w:rPr>
            </w:pPr>
            <w:r w:rsidRPr="00495609">
              <w:rPr>
                <w:rStyle w:val="simple"/>
                <w:rFonts w:eastAsia="Times New Roman"/>
                <w:sz w:val="18"/>
                <w:szCs w:val="18"/>
              </w:rPr>
              <w:t>23 (7.8)</w:t>
            </w:r>
          </w:p>
        </w:tc>
        <w:tc>
          <w:tcPr>
            <w:tcW w:w="828" w:type="pct"/>
            <w:hideMark/>
          </w:tcPr>
          <w:p w:rsidR="00ED12A8" w:rsidRPr="00495609" w:rsidRDefault="00555858">
            <w:pPr>
              <w:rPr>
                <w:rFonts w:eastAsia="Times New Roman"/>
                <w:sz w:val="18"/>
                <w:szCs w:val="18"/>
              </w:rPr>
            </w:pPr>
            <w:r w:rsidRPr="00495609">
              <w:rPr>
                <w:rStyle w:val="simple"/>
                <w:rFonts w:eastAsia="Times New Roman"/>
                <w:sz w:val="18"/>
                <w:szCs w:val="18"/>
              </w:rPr>
              <w:t>43 (10.0)</w:t>
            </w:r>
          </w:p>
        </w:tc>
        <w:tc>
          <w:tcPr>
            <w:tcW w:w="502" w:type="pct"/>
            <w:hideMark/>
          </w:tcPr>
          <w:p w:rsidR="00ED12A8" w:rsidRPr="00495609" w:rsidRDefault="00555858">
            <w:pPr>
              <w:rPr>
                <w:rFonts w:eastAsia="Times New Roman"/>
                <w:sz w:val="18"/>
                <w:szCs w:val="18"/>
              </w:rPr>
            </w:pPr>
            <w:r w:rsidRPr="00495609">
              <w:rPr>
                <w:rStyle w:val="simple"/>
                <w:rFonts w:eastAsia="Times New Roman"/>
                <w:sz w:val="18"/>
                <w:szCs w:val="18"/>
              </w:rPr>
              <w:t>16 (8.6)</w:t>
            </w:r>
          </w:p>
        </w:tc>
        <w:tc>
          <w:tcPr>
            <w:tcW w:w="590" w:type="pct"/>
            <w:hideMark/>
          </w:tcPr>
          <w:p w:rsidR="00ED12A8" w:rsidRPr="00495609" w:rsidRDefault="00555858">
            <w:pPr>
              <w:rPr>
                <w:rFonts w:eastAsia="Times New Roman"/>
                <w:sz w:val="18"/>
                <w:szCs w:val="18"/>
              </w:rPr>
            </w:pPr>
            <w:r w:rsidRPr="00495609">
              <w:rPr>
                <w:rStyle w:val="simple"/>
                <w:rFonts w:eastAsia="Times New Roman"/>
                <w:sz w:val="18"/>
                <w:szCs w:val="18"/>
              </w:rPr>
              <w:t>16 (14.5)</w:t>
            </w:r>
          </w:p>
        </w:tc>
        <w:tc>
          <w:tcPr>
            <w:tcW w:w="682" w:type="pct"/>
            <w:hideMark/>
          </w:tcPr>
          <w:p w:rsidR="00ED12A8" w:rsidRPr="00495609" w:rsidRDefault="00555858">
            <w:pPr>
              <w:rPr>
                <w:rFonts w:eastAsia="Times New Roman"/>
                <w:sz w:val="18"/>
                <w:szCs w:val="18"/>
              </w:rPr>
            </w:pPr>
            <w:r w:rsidRPr="00495609">
              <w:rPr>
                <w:rStyle w:val="simple"/>
                <w:rFonts w:eastAsia="Times New Roman"/>
                <w:sz w:val="18"/>
                <w:szCs w:val="18"/>
              </w:rPr>
              <w:t>11 (8.2)</w:t>
            </w:r>
          </w:p>
        </w:tc>
      </w:tr>
      <w:tr w:rsidR="00ED12A8" w:rsidRPr="00495609" w:rsidTr="00DC5BBA">
        <w:trPr>
          <w:tblHeader/>
          <w:jc w:val="center"/>
        </w:trPr>
        <w:tc>
          <w:tcPr>
            <w:tcW w:w="5000" w:type="pct"/>
            <w:gridSpan w:val="7"/>
            <w:hideMark/>
          </w:tcPr>
          <w:p w:rsidR="00ED12A8" w:rsidRPr="00495609" w:rsidRDefault="00555858">
            <w:pPr>
              <w:rPr>
                <w:rFonts w:eastAsia="Times New Roman"/>
                <w:sz w:val="18"/>
                <w:szCs w:val="18"/>
              </w:rPr>
            </w:pPr>
            <w:r w:rsidRPr="00495609">
              <w:rPr>
                <w:rStyle w:val="simple"/>
                <w:rFonts w:eastAsia="Times New Roman"/>
                <w:sz w:val="18"/>
                <w:szCs w:val="18"/>
              </w:rPr>
              <w:t>Self-reported adverse life events after inclusion</w:t>
            </w:r>
            <w:r w:rsidRPr="00495609">
              <w:rPr>
                <w:rStyle w:val="simple"/>
                <w:rFonts w:eastAsia="Times New Roman"/>
                <w:sz w:val="18"/>
                <w:szCs w:val="18"/>
                <w:vertAlign w:val="superscript"/>
              </w:rPr>
              <w:t>3</w:t>
            </w:r>
          </w:p>
        </w:tc>
      </w:tr>
      <w:tr w:rsidR="00DC5BBA" w:rsidRPr="00495609" w:rsidTr="00DC5BBA">
        <w:trPr>
          <w:tblHeader/>
          <w:jc w:val="center"/>
        </w:trPr>
        <w:tc>
          <w:tcPr>
            <w:tcW w:w="1335" w:type="pct"/>
            <w:hideMark/>
          </w:tcPr>
          <w:p w:rsidR="00ED12A8" w:rsidRPr="00495609" w:rsidRDefault="00555858">
            <w:pPr>
              <w:rPr>
                <w:rFonts w:eastAsia="Times New Roman"/>
                <w:sz w:val="18"/>
                <w:szCs w:val="18"/>
              </w:rPr>
            </w:pPr>
            <w:r w:rsidRPr="00495609">
              <w:rPr>
                <w:rStyle w:val="simple"/>
                <w:rFonts w:eastAsia="Times New Roman"/>
                <w:sz w:val="18"/>
                <w:szCs w:val="18"/>
              </w:rPr>
              <w:t>     ≥2 events</w:t>
            </w:r>
          </w:p>
        </w:tc>
        <w:tc>
          <w:tcPr>
            <w:tcW w:w="384" w:type="pct"/>
            <w:hideMark/>
          </w:tcPr>
          <w:p w:rsidR="00ED12A8" w:rsidRPr="00495609" w:rsidRDefault="00555858">
            <w:pPr>
              <w:rPr>
                <w:rFonts w:eastAsia="Times New Roman"/>
                <w:sz w:val="18"/>
                <w:szCs w:val="18"/>
              </w:rPr>
            </w:pPr>
            <w:r w:rsidRPr="00495609">
              <w:rPr>
                <w:rStyle w:val="simple"/>
                <w:rFonts w:eastAsia="Times New Roman"/>
                <w:sz w:val="18"/>
                <w:szCs w:val="18"/>
              </w:rPr>
              <w:t>45 (6.1)</w:t>
            </w:r>
          </w:p>
        </w:tc>
        <w:tc>
          <w:tcPr>
            <w:tcW w:w="678" w:type="pct"/>
            <w:hideMark/>
          </w:tcPr>
          <w:p w:rsidR="00ED12A8" w:rsidRPr="00495609" w:rsidRDefault="00555858">
            <w:pPr>
              <w:rPr>
                <w:rFonts w:eastAsia="Times New Roman"/>
                <w:sz w:val="18"/>
                <w:szCs w:val="18"/>
              </w:rPr>
            </w:pPr>
            <w:r w:rsidRPr="00495609">
              <w:rPr>
                <w:rStyle w:val="simple"/>
                <w:rFonts w:eastAsia="Times New Roman"/>
                <w:sz w:val="18"/>
                <w:szCs w:val="18"/>
              </w:rPr>
              <w:t>16 (5.4)</w:t>
            </w:r>
          </w:p>
        </w:tc>
        <w:tc>
          <w:tcPr>
            <w:tcW w:w="828" w:type="pct"/>
            <w:hideMark/>
          </w:tcPr>
          <w:p w:rsidR="00ED12A8" w:rsidRPr="00495609" w:rsidRDefault="00555858">
            <w:pPr>
              <w:rPr>
                <w:rFonts w:eastAsia="Times New Roman"/>
                <w:sz w:val="18"/>
                <w:szCs w:val="18"/>
              </w:rPr>
            </w:pPr>
            <w:r w:rsidRPr="00495609">
              <w:rPr>
                <w:rStyle w:val="simple"/>
                <w:rFonts w:eastAsia="Times New Roman"/>
                <w:sz w:val="18"/>
                <w:szCs w:val="18"/>
              </w:rPr>
              <w:t>29 (6.5)</w:t>
            </w:r>
          </w:p>
        </w:tc>
        <w:tc>
          <w:tcPr>
            <w:tcW w:w="502" w:type="pct"/>
            <w:hideMark/>
          </w:tcPr>
          <w:p w:rsidR="00ED12A8" w:rsidRPr="00495609" w:rsidRDefault="00555858">
            <w:pPr>
              <w:rPr>
                <w:rFonts w:eastAsia="Times New Roman"/>
                <w:sz w:val="18"/>
                <w:szCs w:val="18"/>
              </w:rPr>
            </w:pPr>
            <w:r w:rsidRPr="00495609">
              <w:rPr>
                <w:rStyle w:val="simple"/>
                <w:rFonts w:eastAsia="Times New Roman"/>
                <w:sz w:val="18"/>
                <w:szCs w:val="18"/>
              </w:rPr>
              <w:t>14 (7.4)</w:t>
            </w:r>
          </w:p>
        </w:tc>
        <w:tc>
          <w:tcPr>
            <w:tcW w:w="590" w:type="pct"/>
            <w:hideMark/>
          </w:tcPr>
          <w:p w:rsidR="00ED12A8" w:rsidRPr="00495609" w:rsidRDefault="00555858">
            <w:pPr>
              <w:rPr>
                <w:rFonts w:eastAsia="Times New Roman"/>
                <w:sz w:val="18"/>
                <w:szCs w:val="18"/>
              </w:rPr>
            </w:pPr>
            <w:r w:rsidRPr="00495609">
              <w:rPr>
                <w:rStyle w:val="simple"/>
                <w:rFonts w:eastAsia="Times New Roman"/>
                <w:sz w:val="18"/>
                <w:szCs w:val="18"/>
              </w:rPr>
              <w:t>10 (8.8)</w:t>
            </w:r>
          </w:p>
        </w:tc>
        <w:tc>
          <w:tcPr>
            <w:tcW w:w="682" w:type="pct"/>
            <w:hideMark/>
          </w:tcPr>
          <w:p w:rsidR="00ED12A8" w:rsidRPr="00495609" w:rsidRDefault="00555858">
            <w:pPr>
              <w:rPr>
                <w:rFonts w:eastAsia="Times New Roman"/>
                <w:sz w:val="18"/>
                <w:szCs w:val="18"/>
              </w:rPr>
            </w:pPr>
            <w:r w:rsidRPr="00495609">
              <w:rPr>
                <w:rStyle w:val="simple"/>
                <w:rFonts w:eastAsia="Times New Roman"/>
                <w:sz w:val="18"/>
                <w:szCs w:val="18"/>
              </w:rPr>
              <w:t>5 (3.6)</w:t>
            </w:r>
          </w:p>
        </w:tc>
      </w:tr>
      <w:tr w:rsidR="00DC5BBA" w:rsidRPr="00495609" w:rsidTr="00DC5BBA">
        <w:trPr>
          <w:tblHeader/>
          <w:jc w:val="center"/>
        </w:trPr>
        <w:tc>
          <w:tcPr>
            <w:tcW w:w="1335" w:type="pct"/>
            <w:hideMark/>
          </w:tcPr>
          <w:p w:rsidR="00ED12A8" w:rsidRPr="00495609" w:rsidRDefault="00555858">
            <w:pPr>
              <w:rPr>
                <w:rFonts w:eastAsia="Times New Roman"/>
                <w:sz w:val="18"/>
                <w:szCs w:val="18"/>
              </w:rPr>
            </w:pPr>
            <w:r w:rsidRPr="00495609">
              <w:rPr>
                <w:rStyle w:val="simple"/>
                <w:rFonts w:eastAsia="Times New Roman"/>
                <w:sz w:val="18"/>
                <w:szCs w:val="18"/>
              </w:rPr>
              <w:t>Poor subjective health 3 months before pregnancy</w:t>
            </w:r>
          </w:p>
        </w:tc>
        <w:tc>
          <w:tcPr>
            <w:tcW w:w="384" w:type="pct"/>
            <w:hideMark/>
          </w:tcPr>
          <w:p w:rsidR="00ED12A8" w:rsidRPr="00495609" w:rsidRDefault="00555858">
            <w:pPr>
              <w:rPr>
                <w:rFonts w:eastAsia="Times New Roman"/>
                <w:sz w:val="18"/>
                <w:szCs w:val="18"/>
              </w:rPr>
            </w:pPr>
            <w:r w:rsidRPr="00495609">
              <w:rPr>
                <w:rStyle w:val="simple"/>
                <w:rFonts w:eastAsia="Times New Roman"/>
                <w:sz w:val="18"/>
                <w:szCs w:val="18"/>
              </w:rPr>
              <w:t>77 (10.4)</w:t>
            </w:r>
          </w:p>
        </w:tc>
        <w:tc>
          <w:tcPr>
            <w:tcW w:w="678" w:type="pct"/>
            <w:hideMark/>
          </w:tcPr>
          <w:p w:rsidR="00ED12A8" w:rsidRPr="00495609" w:rsidRDefault="00555858">
            <w:pPr>
              <w:rPr>
                <w:rFonts w:eastAsia="Times New Roman"/>
                <w:sz w:val="18"/>
                <w:szCs w:val="18"/>
              </w:rPr>
            </w:pPr>
            <w:r w:rsidRPr="00495609">
              <w:rPr>
                <w:rStyle w:val="simple"/>
                <w:rFonts w:eastAsia="Times New Roman"/>
                <w:sz w:val="18"/>
                <w:szCs w:val="18"/>
              </w:rPr>
              <w:t>17 (5.6)</w:t>
            </w:r>
          </w:p>
        </w:tc>
        <w:tc>
          <w:tcPr>
            <w:tcW w:w="828" w:type="pct"/>
            <w:hideMark/>
          </w:tcPr>
          <w:p w:rsidR="00ED12A8" w:rsidRPr="00495609" w:rsidRDefault="00555858">
            <w:pPr>
              <w:rPr>
                <w:rFonts w:eastAsia="Times New Roman"/>
                <w:sz w:val="18"/>
                <w:szCs w:val="18"/>
              </w:rPr>
            </w:pPr>
            <w:r w:rsidRPr="00495609">
              <w:rPr>
                <w:rStyle w:val="simple"/>
                <w:rFonts w:eastAsia="Times New Roman"/>
                <w:sz w:val="18"/>
                <w:szCs w:val="18"/>
              </w:rPr>
              <w:t>60 (13.7)</w:t>
            </w:r>
          </w:p>
        </w:tc>
        <w:tc>
          <w:tcPr>
            <w:tcW w:w="502" w:type="pct"/>
            <w:hideMark/>
          </w:tcPr>
          <w:p w:rsidR="00ED12A8" w:rsidRPr="00495609" w:rsidRDefault="00555858">
            <w:pPr>
              <w:rPr>
                <w:rFonts w:eastAsia="Times New Roman"/>
                <w:sz w:val="18"/>
                <w:szCs w:val="18"/>
              </w:rPr>
            </w:pPr>
            <w:r w:rsidRPr="00495609">
              <w:rPr>
                <w:rStyle w:val="simple"/>
                <w:rFonts w:eastAsia="Times New Roman"/>
                <w:sz w:val="18"/>
                <w:szCs w:val="18"/>
              </w:rPr>
              <w:t>30 (16.0)</w:t>
            </w:r>
          </w:p>
        </w:tc>
        <w:tc>
          <w:tcPr>
            <w:tcW w:w="590" w:type="pct"/>
            <w:hideMark/>
          </w:tcPr>
          <w:p w:rsidR="00ED12A8" w:rsidRPr="00495609" w:rsidRDefault="00555858">
            <w:pPr>
              <w:rPr>
                <w:rFonts w:eastAsia="Times New Roman"/>
                <w:sz w:val="18"/>
                <w:szCs w:val="18"/>
              </w:rPr>
            </w:pPr>
            <w:r w:rsidRPr="00495609">
              <w:rPr>
                <w:rStyle w:val="simple"/>
                <w:rFonts w:eastAsia="Times New Roman"/>
                <w:sz w:val="18"/>
                <w:szCs w:val="18"/>
              </w:rPr>
              <w:t>18 (16.2)</w:t>
            </w:r>
          </w:p>
        </w:tc>
        <w:tc>
          <w:tcPr>
            <w:tcW w:w="682" w:type="pct"/>
            <w:hideMark/>
          </w:tcPr>
          <w:p w:rsidR="00ED12A8" w:rsidRPr="00495609" w:rsidRDefault="00555858">
            <w:pPr>
              <w:rPr>
                <w:rFonts w:eastAsia="Times New Roman"/>
                <w:sz w:val="18"/>
                <w:szCs w:val="18"/>
              </w:rPr>
            </w:pPr>
            <w:r w:rsidRPr="00495609">
              <w:rPr>
                <w:rStyle w:val="simple"/>
                <w:rFonts w:eastAsia="Times New Roman"/>
                <w:sz w:val="18"/>
                <w:szCs w:val="18"/>
              </w:rPr>
              <w:t>12 (8.7)</w:t>
            </w:r>
          </w:p>
        </w:tc>
      </w:tr>
      <w:tr w:rsidR="00DC5BBA" w:rsidRPr="00495609" w:rsidTr="00DC5BBA">
        <w:trPr>
          <w:tblHeader/>
          <w:jc w:val="center"/>
        </w:trPr>
        <w:tc>
          <w:tcPr>
            <w:tcW w:w="1335" w:type="pct"/>
            <w:hideMark/>
          </w:tcPr>
          <w:p w:rsidR="00ED12A8" w:rsidRPr="00495609" w:rsidRDefault="00555858">
            <w:pPr>
              <w:rPr>
                <w:rFonts w:eastAsia="Times New Roman"/>
                <w:sz w:val="18"/>
                <w:szCs w:val="18"/>
              </w:rPr>
            </w:pPr>
            <w:r w:rsidRPr="00495609">
              <w:rPr>
                <w:rStyle w:val="simple"/>
                <w:rFonts w:eastAsia="Times New Roman"/>
                <w:sz w:val="18"/>
                <w:szCs w:val="18"/>
              </w:rPr>
              <w:t>Previous history of depression</w:t>
            </w:r>
            <w:r w:rsidRPr="00495609">
              <w:rPr>
                <w:rStyle w:val="simple"/>
                <w:rFonts w:eastAsia="Times New Roman"/>
                <w:sz w:val="18"/>
                <w:szCs w:val="18"/>
                <w:vertAlign w:val="superscript"/>
              </w:rPr>
              <w:t>3</w:t>
            </w:r>
          </w:p>
        </w:tc>
        <w:tc>
          <w:tcPr>
            <w:tcW w:w="384" w:type="pct"/>
            <w:hideMark/>
          </w:tcPr>
          <w:p w:rsidR="00ED12A8" w:rsidRPr="00495609" w:rsidRDefault="00555858">
            <w:pPr>
              <w:rPr>
                <w:rFonts w:eastAsia="Times New Roman"/>
                <w:sz w:val="18"/>
                <w:szCs w:val="18"/>
              </w:rPr>
            </w:pPr>
            <w:r w:rsidRPr="00495609">
              <w:rPr>
                <w:rStyle w:val="simple"/>
                <w:rFonts w:eastAsia="Times New Roman"/>
                <w:sz w:val="18"/>
                <w:szCs w:val="18"/>
              </w:rPr>
              <w:t>114 (18.2)</w:t>
            </w:r>
          </w:p>
        </w:tc>
        <w:tc>
          <w:tcPr>
            <w:tcW w:w="678" w:type="pct"/>
            <w:hideMark/>
          </w:tcPr>
          <w:p w:rsidR="00ED12A8" w:rsidRPr="00495609" w:rsidRDefault="00555858">
            <w:pPr>
              <w:rPr>
                <w:rFonts w:eastAsia="Times New Roman"/>
                <w:sz w:val="18"/>
                <w:szCs w:val="18"/>
              </w:rPr>
            </w:pPr>
            <w:r w:rsidRPr="00495609">
              <w:rPr>
                <w:rStyle w:val="simple"/>
                <w:rFonts w:eastAsia="Times New Roman"/>
                <w:sz w:val="18"/>
                <w:szCs w:val="18"/>
              </w:rPr>
              <w:t>61 (23.1)</w:t>
            </w:r>
          </w:p>
        </w:tc>
        <w:tc>
          <w:tcPr>
            <w:tcW w:w="828" w:type="pct"/>
            <w:hideMark/>
          </w:tcPr>
          <w:p w:rsidR="00ED12A8" w:rsidRPr="00495609" w:rsidRDefault="00555858">
            <w:pPr>
              <w:rPr>
                <w:rFonts w:eastAsia="Times New Roman"/>
                <w:sz w:val="18"/>
                <w:szCs w:val="18"/>
              </w:rPr>
            </w:pPr>
            <w:r w:rsidRPr="00495609">
              <w:rPr>
                <w:rStyle w:val="simple"/>
                <w:rFonts w:eastAsia="Times New Roman"/>
                <w:sz w:val="18"/>
                <w:szCs w:val="18"/>
              </w:rPr>
              <w:t>53 (14.6)</w:t>
            </w:r>
          </w:p>
        </w:tc>
        <w:tc>
          <w:tcPr>
            <w:tcW w:w="502" w:type="pct"/>
            <w:hideMark/>
          </w:tcPr>
          <w:p w:rsidR="00ED12A8" w:rsidRPr="00495609" w:rsidRDefault="00555858">
            <w:pPr>
              <w:rPr>
                <w:rFonts w:eastAsia="Times New Roman"/>
                <w:sz w:val="18"/>
                <w:szCs w:val="18"/>
              </w:rPr>
            </w:pPr>
            <w:r w:rsidRPr="00495609">
              <w:rPr>
                <w:rStyle w:val="simple"/>
                <w:rFonts w:eastAsia="Times New Roman"/>
                <w:sz w:val="18"/>
                <w:szCs w:val="18"/>
              </w:rPr>
              <w:t>21 (13.5)</w:t>
            </w:r>
          </w:p>
        </w:tc>
        <w:tc>
          <w:tcPr>
            <w:tcW w:w="590" w:type="pct"/>
            <w:hideMark/>
          </w:tcPr>
          <w:p w:rsidR="00ED12A8" w:rsidRPr="00495609" w:rsidRDefault="00555858">
            <w:pPr>
              <w:rPr>
                <w:rFonts w:eastAsia="Times New Roman"/>
                <w:sz w:val="18"/>
                <w:szCs w:val="18"/>
              </w:rPr>
            </w:pPr>
            <w:r w:rsidRPr="00495609">
              <w:rPr>
                <w:rStyle w:val="simple"/>
                <w:rFonts w:eastAsia="Times New Roman"/>
                <w:sz w:val="18"/>
                <w:szCs w:val="18"/>
              </w:rPr>
              <w:t>15 (16.5)</w:t>
            </w:r>
          </w:p>
        </w:tc>
        <w:tc>
          <w:tcPr>
            <w:tcW w:w="682" w:type="pct"/>
            <w:hideMark/>
          </w:tcPr>
          <w:p w:rsidR="00ED12A8" w:rsidRPr="00495609" w:rsidRDefault="00555858">
            <w:pPr>
              <w:rPr>
                <w:rFonts w:eastAsia="Times New Roman"/>
                <w:sz w:val="18"/>
                <w:szCs w:val="18"/>
              </w:rPr>
            </w:pPr>
            <w:r w:rsidRPr="00495609">
              <w:rPr>
                <w:rStyle w:val="simple"/>
                <w:rFonts w:eastAsia="Times New Roman"/>
                <w:sz w:val="18"/>
                <w:szCs w:val="18"/>
              </w:rPr>
              <w:t>17 (14.8)</w:t>
            </w:r>
          </w:p>
        </w:tc>
      </w:tr>
    </w:tbl>
    <w:p w:rsidR="00ED12A8" w:rsidRPr="00495609" w:rsidRDefault="00555858" w:rsidP="00765AEA">
      <w:pPr>
        <w:ind w:left="-630"/>
        <w:jc w:val="both"/>
        <w:rPr>
          <w:rFonts w:eastAsia="Times New Roman"/>
          <w:sz w:val="18"/>
          <w:szCs w:val="18"/>
        </w:rPr>
      </w:pPr>
      <w:proofErr w:type="gramStart"/>
      <w:r w:rsidRPr="00495609">
        <w:rPr>
          <w:rFonts w:eastAsia="Times New Roman"/>
          <w:sz w:val="18"/>
          <w:szCs w:val="18"/>
          <w:vertAlign w:val="superscript"/>
        </w:rPr>
        <w:t>1</w:t>
      </w:r>
      <w:r w:rsidRPr="00495609">
        <w:rPr>
          <w:rFonts w:eastAsia="Times New Roman"/>
          <w:sz w:val="18"/>
          <w:szCs w:val="18"/>
        </w:rPr>
        <w:t xml:space="preserve"> Living without a partner.</w:t>
      </w:r>
      <w:proofErr w:type="gramEnd"/>
    </w:p>
    <w:p w:rsidR="00ED12A8" w:rsidRPr="00495609" w:rsidRDefault="00555858" w:rsidP="00765AEA">
      <w:pPr>
        <w:ind w:left="-630"/>
        <w:jc w:val="both"/>
        <w:rPr>
          <w:rFonts w:eastAsia="Times New Roman"/>
          <w:sz w:val="18"/>
          <w:szCs w:val="18"/>
        </w:rPr>
      </w:pPr>
      <w:r w:rsidRPr="00495609">
        <w:rPr>
          <w:rFonts w:eastAsia="Times New Roman"/>
          <w:sz w:val="18"/>
          <w:szCs w:val="18"/>
          <w:vertAlign w:val="superscript"/>
        </w:rPr>
        <w:t>2</w:t>
      </w:r>
      <w:r w:rsidRPr="00495609">
        <w:rPr>
          <w:rFonts w:eastAsia="Times New Roman"/>
          <w:sz w:val="18"/>
          <w:szCs w:val="18"/>
        </w:rPr>
        <w:t xml:space="preserve"> Past six months.</w:t>
      </w:r>
    </w:p>
    <w:p w:rsidR="00ED12A8" w:rsidRPr="00495609" w:rsidRDefault="00555858" w:rsidP="00765AEA">
      <w:pPr>
        <w:ind w:left="-630"/>
        <w:jc w:val="both"/>
        <w:rPr>
          <w:rFonts w:eastAsia="Times New Roman"/>
          <w:sz w:val="18"/>
          <w:szCs w:val="18"/>
        </w:rPr>
      </w:pPr>
      <w:r w:rsidRPr="00495609">
        <w:rPr>
          <w:rFonts w:eastAsia="Times New Roman"/>
          <w:sz w:val="18"/>
          <w:szCs w:val="18"/>
          <w:vertAlign w:val="superscript"/>
        </w:rPr>
        <w:t>3</w:t>
      </w:r>
      <w:r w:rsidRPr="00495609">
        <w:rPr>
          <w:rFonts w:eastAsia="Times New Roman"/>
          <w:sz w:val="18"/>
          <w:szCs w:val="18"/>
        </w:rPr>
        <w:t xml:space="preserve"> Data collected postpartum.</w:t>
      </w:r>
    </w:p>
    <w:p w:rsidR="00ED12A8" w:rsidRPr="00495609" w:rsidRDefault="00555858" w:rsidP="00765AEA">
      <w:pPr>
        <w:ind w:left="-630"/>
        <w:jc w:val="both"/>
        <w:rPr>
          <w:rFonts w:eastAsia="Times New Roman"/>
          <w:sz w:val="18"/>
          <w:szCs w:val="18"/>
        </w:rPr>
      </w:pPr>
      <w:r w:rsidRPr="00495609">
        <w:rPr>
          <w:rFonts w:eastAsia="Times New Roman"/>
          <w:sz w:val="18"/>
          <w:szCs w:val="18"/>
        </w:rPr>
        <w:t>Values are n (%) if not stated otherwise.</w:t>
      </w:r>
    </w:p>
    <w:p w:rsidR="0026275D" w:rsidRDefault="0026275D" w:rsidP="00765AEA">
      <w:pPr>
        <w:pStyle w:val="h2"/>
        <w:ind w:left="-630"/>
        <w:sectPr w:rsidR="0026275D" w:rsidSect="0026275D">
          <w:pgSz w:w="16834" w:h="11909" w:orient="landscape"/>
          <w:pgMar w:top="1440" w:right="1440" w:bottom="1440" w:left="1440" w:header="720" w:footer="720" w:gutter="0"/>
          <w:cols w:space="720"/>
          <w:docGrid w:linePitch="360"/>
        </w:sectPr>
      </w:pPr>
    </w:p>
    <w:p w:rsidR="00ED12A8" w:rsidRDefault="00555858">
      <w:pPr>
        <w:pStyle w:val="h2"/>
      </w:pPr>
      <w:r>
        <w:lastRenderedPageBreak/>
        <w:t>Prevalence of depression</w:t>
      </w:r>
    </w:p>
    <w:p w:rsidR="00ED12A8" w:rsidRDefault="00555858">
      <w:pPr>
        <w:pStyle w:val="NormalWeb"/>
        <w:jc w:val="both"/>
      </w:pPr>
      <w:r>
        <w:t>A total of 97 women had an EPDS score ≥10, yielding a crude prevalence rate of 13.0% (95 % CI: 10.59-15.41) for the whole study sample (Figure 2), 8.6% (5.45-11.75) for Western European women and 16.0% (12.59-19.41) for the ethnic minority group (p = 0.003). Women with Middle East ethnic origin had the highest prevalence of 19.5% (12.19-26.81), compared to 17.5% (12.08-22.92) among South Asians and 11.3% (6.09-16.51) in the group of other ethnic minorities (Eastern Europe, Africa South of Sahara, East Asia, and South and Central America). Middle Eastern women also had the highest median EPDS score of 6 (IQR: 2; 9) compared with South Asians: median of 3 (IQR 1; 7.5), Western Europeans: median of 3 (IQR: 1; 5), and other ethnic minorities: median of 3 (IQR 1; 7).</w:t>
      </w:r>
    </w:p>
    <w:p w:rsidR="00ED12A8" w:rsidRDefault="00555858">
      <w:pPr>
        <w:pStyle w:val="float"/>
        <w:pBdr>
          <w:top w:val="single" w:sz="6" w:space="0" w:color="auto"/>
          <w:bottom w:val="single" w:sz="6" w:space="0" w:color="auto"/>
        </w:pBdr>
      </w:pPr>
      <w:r>
        <w:rPr>
          <w:rStyle w:val="Caption1"/>
          <w:b/>
          <w:bCs/>
        </w:rPr>
        <w:t>Figure 2</w:t>
      </w:r>
      <w:r>
        <w:rPr>
          <w:rStyle w:val="Caption1"/>
        </w:rPr>
        <w:t xml:space="preserve"> </w:t>
      </w:r>
      <w:r>
        <w:rPr>
          <w:rStyle w:val="bold"/>
        </w:rPr>
        <w:t>Prevalence of depression in pregnancy in percentage, for the different ethnic groups with 95% confidence intervals, CI.</w:t>
      </w:r>
    </w:p>
    <w:p w:rsidR="00ED12A8" w:rsidRDefault="00555858">
      <w:pPr>
        <w:pStyle w:val="NormalWeb"/>
        <w:jc w:val="both"/>
      </w:pPr>
      <w:r>
        <w:t>In the total study population, 60 women had an EPDS score ≥12 (8.0% (6.06-9.94), and the breakdown according to group was 4.6% (2.25-6.95) in Western Europeans versus 10.6% (7.56-13.24) in the merged ethnic minority group (p &lt; 0.001).</w:t>
      </w:r>
    </w:p>
    <w:p w:rsidR="00ED12A8" w:rsidRDefault="00555858">
      <w:pPr>
        <w:pStyle w:val="h2"/>
      </w:pPr>
      <w:r>
        <w:t>Risk factors for depression in pregnancy</w:t>
      </w:r>
    </w:p>
    <w:p w:rsidR="00ED12A8" w:rsidRDefault="00555858">
      <w:pPr>
        <w:pStyle w:val="NormalWeb"/>
        <w:jc w:val="both"/>
      </w:pPr>
      <w:r>
        <w:t xml:space="preserve">Among women with </w:t>
      </w:r>
      <w:r>
        <w:rPr>
          <w:rStyle w:val="italic"/>
        </w:rPr>
        <w:t>EPDS</w:t>
      </w:r>
      <w:r>
        <w:t xml:space="preserve"> ≥10, a total of 72.3 % had an ethnic minority background (Table 2). A higher number of women with </w:t>
      </w:r>
      <w:r>
        <w:rPr>
          <w:rStyle w:val="italic"/>
        </w:rPr>
        <w:t>EPDS</w:t>
      </w:r>
      <w:r>
        <w:t xml:space="preserve"> ≥10 were unemployed, had a low SEP, reported single parenthood, more recent adverse life events and poor subjective health.</w:t>
      </w:r>
    </w:p>
    <w:p w:rsidR="00ED12A8" w:rsidRPr="00F1132F" w:rsidRDefault="00555858" w:rsidP="00753086">
      <w:pPr>
        <w:pStyle w:val="float"/>
        <w:spacing w:after="0" w:afterAutospacing="0"/>
        <w:ind w:left="-540" w:right="-511"/>
        <w:rPr>
          <w:sz w:val="18"/>
          <w:szCs w:val="18"/>
        </w:rPr>
      </w:pPr>
      <w:r w:rsidRPr="00F1132F">
        <w:rPr>
          <w:rStyle w:val="Caption1"/>
          <w:b/>
          <w:bCs/>
          <w:sz w:val="18"/>
          <w:szCs w:val="18"/>
        </w:rPr>
        <w:t>Table 2</w:t>
      </w:r>
      <w:r w:rsidRPr="00F1132F">
        <w:rPr>
          <w:rStyle w:val="Caption1"/>
          <w:sz w:val="18"/>
          <w:szCs w:val="18"/>
        </w:rPr>
        <w:t xml:space="preserve"> </w:t>
      </w:r>
      <w:proofErr w:type="spellStart"/>
      <w:r w:rsidRPr="00F1132F">
        <w:rPr>
          <w:rStyle w:val="bold"/>
          <w:sz w:val="18"/>
          <w:szCs w:val="18"/>
        </w:rPr>
        <w:t>Sociodemographic</w:t>
      </w:r>
      <w:proofErr w:type="spellEnd"/>
      <w:r w:rsidRPr="00F1132F">
        <w:rPr>
          <w:rStyle w:val="bold"/>
          <w:sz w:val="18"/>
          <w:szCs w:val="18"/>
        </w:rPr>
        <w:t xml:space="preserve"> characteristics for women with Edinburgh Postnatal Depression Scale score above and below cut-off 10</w:t>
      </w:r>
    </w:p>
    <w:tbl>
      <w:tblPr>
        <w:tblW w:w="5572" w:type="pct"/>
        <w:jc w:val="center"/>
        <w:tblBorders>
          <w:top w:val="single" w:sz="12" w:space="0" w:color="000000"/>
          <w:bottom w:val="single" w:sz="12" w:space="0" w:color="000000"/>
        </w:tblBorders>
        <w:tblCellMar>
          <w:top w:w="15" w:type="dxa"/>
          <w:left w:w="15" w:type="dxa"/>
          <w:bottom w:w="15" w:type="dxa"/>
          <w:right w:w="15" w:type="dxa"/>
        </w:tblCellMar>
        <w:tblLook w:val="04A0" w:firstRow="1" w:lastRow="0" w:firstColumn="1" w:lastColumn="0" w:noHBand="0" w:noVBand="1"/>
      </w:tblPr>
      <w:tblGrid>
        <w:gridCol w:w="4133"/>
        <w:gridCol w:w="1530"/>
        <w:gridCol w:w="1710"/>
        <w:gridCol w:w="1890"/>
        <w:gridCol w:w="832"/>
      </w:tblGrid>
      <w:tr w:rsidR="00110056" w:rsidRPr="00F1132F" w:rsidTr="000A728A">
        <w:trPr>
          <w:tblHeader/>
          <w:jc w:val="center"/>
        </w:trPr>
        <w:tc>
          <w:tcPr>
            <w:tcW w:w="2047" w:type="pct"/>
            <w:hideMark/>
          </w:tcPr>
          <w:p w:rsidR="00ED12A8" w:rsidRPr="00F1132F" w:rsidRDefault="00ED12A8">
            <w:pPr>
              <w:rPr>
                <w:rFonts w:eastAsia="Times New Roman"/>
                <w:sz w:val="18"/>
                <w:szCs w:val="18"/>
              </w:rPr>
            </w:pPr>
          </w:p>
        </w:tc>
        <w:tc>
          <w:tcPr>
            <w:tcW w:w="758" w:type="pct"/>
            <w:hideMark/>
          </w:tcPr>
          <w:p w:rsidR="00ED12A8" w:rsidRPr="00F1132F" w:rsidRDefault="00555858">
            <w:pPr>
              <w:rPr>
                <w:rFonts w:eastAsia="Times New Roman"/>
                <w:sz w:val="18"/>
                <w:szCs w:val="18"/>
              </w:rPr>
            </w:pPr>
            <w:r w:rsidRPr="00F1132F">
              <w:rPr>
                <w:rStyle w:val="bold"/>
                <w:rFonts w:eastAsia="Times New Roman"/>
                <w:sz w:val="18"/>
                <w:szCs w:val="18"/>
              </w:rPr>
              <w:t>Total 749 (100%)</w:t>
            </w:r>
          </w:p>
        </w:tc>
        <w:tc>
          <w:tcPr>
            <w:tcW w:w="847" w:type="pct"/>
            <w:hideMark/>
          </w:tcPr>
          <w:p w:rsidR="00ED12A8" w:rsidRPr="00F1132F" w:rsidRDefault="00555858">
            <w:pPr>
              <w:rPr>
                <w:rFonts w:eastAsia="Times New Roman"/>
                <w:sz w:val="18"/>
                <w:szCs w:val="18"/>
              </w:rPr>
            </w:pPr>
            <w:r w:rsidRPr="00F1132F">
              <w:rPr>
                <w:rStyle w:val="bold"/>
                <w:rFonts w:eastAsia="Times New Roman"/>
                <w:sz w:val="18"/>
                <w:szCs w:val="18"/>
              </w:rPr>
              <w:t>EPDS ≥10</w:t>
            </w:r>
            <w:proofErr w:type="gramStart"/>
            <w:r w:rsidR="00DD5A83" w:rsidRPr="00DD5A83">
              <w:rPr>
                <w:rStyle w:val="bold"/>
                <w:rFonts w:eastAsia="Times New Roman"/>
                <w:color w:val="FF0000"/>
                <w:sz w:val="18"/>
                <w:szCs w:val="18"/>
              </w:rPr>
              <w:t>,n</w:t>
            </w:r>
            <w:proofErr w:type="gramEnd"/>
            <w:r w:rsidR="00DD5A83" w:rsidRPr="00DD5A83">
              <w:rPr>
                <w:rStyle w:val="bold"/>
                <w:rFonts w:eastAsia="Times New Roman"/>
                <w:color w:val="FF0000"/>
                <w:sz w:val="18"/>
                <w:szCs w:val="18"/>
              </w:rPr>
              <w:t>=</w:t>
            </w:r>
            <w:r w:rsidRPr="00DD5A83">
              <w:rPr>
                <w:rStyle w:val="bold"/>
                <w:rFonts w:eastAsia="Times New Roman"/>
                <w:color w:val="FF0000"/>
                <w:sz w:val="18"/>
                <w:szCs w:val="18"/>
              </w:rPr>
              <w:t xml:space="preserve"> </w:t>
            </w:r>
            <w:r w:rsidRPr="00F1132F">
              <w:rPr>
                <w:rStyle w:val="bold"/>
                <w:rFonts w:eastAsia="Times New Roman"/>
                <w:sz w:val="18"/>
                <w:szCs w:val="18"/>
              </w:rPr>
              <w:t>97 (13%)</w:t>
            </w:r>
          </w:p>
        </w:tc>
        <w:tc>
          <w:tcPr>
            <w:tcW w:w="936" w:type="pct"/>
            <w:hideMark/>
          </w:tcPr>
          <w:p w:rsidR="00ED12A8" w:rsidRPr="00F1132F" w:rsidRDefault="00555858">
            <w:pPr>
              <w:rPr>
                <w:rFonts w:eastAsia="Times New Roman"/>
                <w:sz w:val="18"/>
                <w:szCs w:val="18"/>
              </w:rPr>
            </w:pPr>
            <w:r w:rsidRPr="00F1132F">
              <w:rPr>
                <w:rStyle w:val="bold"/>
                <w:rFonts w:eastAsia="Times New Roman"/>
                <w:sz w:val="18"/>
                <w:szCs w:val="18"/>
              </w:rPr>
              <w:t>EPDS &lt; 10</w:t>
            </w:r>
            <w:r w:rsidR="00DD5A83">
              <w:rPr>
                <w:rStyle w:val="bold"/>
                <w:rFonts w:eastAsia="Times New Roman"/>
                <w:sz w:val="18"/>
                <w:szCs w:val="18"/>
              </w:rPr>
              <w:t>,</w:t>
            </w:r>
            <w:r w:rsidRPr="00F1132F">
              <w:rPr>
                <w:rStyle w:val="bold"/>
                <w:rFonts w:eastAsia="Times New Roman"/>
                <w:sz w:val="18"/>
                <w:szCs w:val="18"/>
              </w:rPr>
              <w:t xml:space="preserve"> </w:t>
            </w:r>
            <w:r w:rsidR="00DD5A83" w:rsidRPr="00DD5A83">
              <w:rPr>
                <w:rStyle w:val="bold"/>
                <w:rFonts w:eastAsia="Times New Roman"/>
                <w:color w:val="FF0000"/>
                <w:sz w:val="18"/>
                <w:szCs w:val="18"/>
              </w:rPr>
              <w:t>n=</w:t>
            </w:r>
            <w:r w:rsidRPr="00DD5A83">
              <w:rPr>
                <w:rStyle w:val="bold"/>
                <w:rFonts w:eastAsia="Times New Roman"/>
                <w:color w:val="FF0000"/>
                <w:sz w:val="18"/>
                <w:szCs w:val="18"/>
              </w:rPr>
              <w:t xml:space="preserve">652 </w:t>
            </w:r>
            <w:r w:rsidRPr="00F1132F">
              <w:rPr>
                <w:rStyle w:val="bold"/>
                <w:rFonts w:eastAsia="Times New Roman"/>
                <w:sz w:val="18"/>
                <w:szCs w:val="18"/>
              </w:rPr>
              <w:t>(87%)</w:t>
            </w:r>
          </w:p>
        </w:tc>
        <w:tc>
          <w:tcPr>
            <w:tcW w:w="412" w:type="pct"/>
            <w:hideMark/>
          </w:tcPr>
          <w:p w:rsidR="00ED12A8" w:rsidRPr="00F1132F" w:rsidRDefault="00555858">
            <w:pPr>
              <w:rPr>
                <w:rFonts w:eastAsia="Times New Roman"/>
                <w:sz w:val="18"/>
                <w:szCs w:val="18"/>
              </w:rPr>
            </w:pPr>
            <w:r w:rsidRPr="00F1132F">
              <w:rPr>
                <w:rStyle w:val="bold"/>
                <w:rFonts w:eastAsia="Times New Roman"/>
                <w:sz w:val="18"/>
                <w:szCs w:val="18"/>
              </w:rPr>
              <w:t>p-value</w:t>
            </w:r>
            <w:r w:rsidRPr="00F1132F">
              <w:rPr>
                <w:rStyle w:val="bold"/>
                <w:rFonts w:eastAsia="Times New Roman"/>
                <w:sz w:val="18"/>
                <w:szCs w:val="18"/>
                <w:vertAlign w:val="superscript"/>
              </w:rPr>
              <w:t>4</w:t>
            </w:r>
          </w:p>
        </w:tc>
      </w:tr>
      <w:tr w:rsidR="00110056" w:rsidRPr="00F1132F" w:rsidTr="000A728A">
        <w:trPr>
          <w:tblHeader/>
          <w:jc w:val="center"/>
        </w:trPr>
        <w:tc>
          <w:tcPr>
            <w:tcW w:w="2047" w:type="pct"/>
            <w:tcBorders>
              <w:top w:val="single" w:sz="12" w:space="0" w:color="000000"/>
            </w:tcBorders>
            <w:hideMark/>
          </w:tcPr>
          <w:p w:rsidR="00ED12A8" w:rsidRPr="00F1132F" w:rsidRDefault="00555858">
            <w:pPr>
              <w:rPr>
                <w:rFonts w:eastAsia="Times New Roman"/>
                <w:sz w:val="18"/>
                <w:szCs w:val="18"/>
              </w:rPr>
            </w:pPr>
            <w:r w:rsidRPr="00F1132F">
              <w:rPr>
                <w:rStyle w:val="simple"/>
                <w:rFonts w:eastAsia="Times New Roman"/>
                <w:sz w:val="18"/>
                <w:szCs w:val="18"/>
              </w:rPr>
              <w:t>Ethnic minority women</w:t>
            </w:r>
          </w:p>
        </w:tc>
        <w:tc>
          <w:tcPr>
            <w:tcW w:w="758" w:type="pct"/>
            <w:tcBorders>
              <w:top w:val="single" w:sz="12" w:space="0" w:color="000000"/>
            </w:tcBorders>
            <w:hideMark/>
          </w:tcPr>
          <w:p w:rsidR="00ED12A8" w:rsidRPr="00F1132F" w:rsidRDefault="00555858">
            <w:pPr>
              <w:rPr>
                <w:rFonts w:eastAsia="Times New Roman"/>
                <w:sz w:val="18"/>
                <w:szCs w:val="18"/>
              </w:rPr>
            </w:pPr>
            <w:r w:rsidRPr="00F1132F">
              <w:rPr>
                <w:rStyle w:val="simple"/>
                <w:rFonts w:eastAsia="Times New Roman"/>
                <w:sz w:val="18"/>
                <w:szCs w:val="18"/>
              </w:rPr>
              <w:t>444 (59.3)</w:t>
            </w:r>
          </w:p>
        </w:tc>
        <w:tc>
          <w:tcPr>
            <w:tcW w:w="847" w:type="pct"/>
            <w:tcBorders>
              <w:top w:val="single" w:sz="12" w:space="0" w:color="000000"/>
            </w:tcBorders>
            <w:hideMark/>
          </w:tcPr>
          <w:p w:rsidR="00ED12A8" w:rsidRPr="00F1132F" w:rsidRDefault="00555858">
            <w:pPr>
              <w:rPr>
                <w:rFonts w:eastAsia="Times New Roman"/>
                <w:sz w:val="18"/>
                <w:szCs w:val="18"/>
              </w:rPr>
            </w:pPr>
            <w:r w:rsidRPr="00F1132F">
              <w:rPr>
                <w:rStyle w:val="simple"/>
                <w:rFonts w:eastAsia="Times New Roman"/>
                <w:sz w:val="18"/>
                <w:szCs w:val="18"/>
              </w:rPr>
              <w:t>71 (73.2)</w:t>
            </w:r>
          </w:p>
        </w:tc>
        <w:tc>
          <w:tcPr>
            <w:tcW w:w="936" w:type="pct"/>
            <w:tcBorders>
              <w:top w:val="single" w:sz="12" w:space="0" w:color="000000"/>
            </w:tcBorders>
            <w:hideMark/>
          </w:tcPr>
          <w:p w:rsidR="00ED12A8" w:rsidRPr="00F1132F" w:rsidRDefault="00555858">
            <w:pPr>
              <w:rPr>
                <w:rFonts w:eastAsia="Times New Roman"/>
                <w:sz w:val="18"/>
                <w:szCs w:val="18"/>
              </w:rPr>
            </w:pPr>
            <w:r w:rsidRPr="00F1132F">
              <w:rPr>
                <w:rStyle w:val="simple"/>
                <w:rFonts w:eastAsia="Times New Roman"/>
                <w:sz w:val="18"/>
                <w:szCs w:val="18"/>
              </w:rPr>
              <w:t>373 (57.2)</w:t>
            </w:r>
          </w:p>
        </w:tc>
        <w:tc>
          <w:tcPr>
            <w:tcW w:w="412" w:type="pct"/>
            <w:tcBorders>
              <w:top w:val="single" w:sz="12" w:space="0" w:color="000000"/>
            </w:tcBorders>
            <w:hideMark/>
          </w:tcPr>
          <w:p w:rsidR="00ED12A8" w:rsidRPr="00F1132F" w:rsidRDefault="00555858">
            <w:pPr>
              <w:rPr>
                <w:rFonts w:eastAsia="Times New Roman"/>
                <w:sz w:val="18"/>
                <w:szCs w:val="18"/>
              </w:rPr>
            </w:pPr>
            <w:r w:rsidRPr="00F1132F">
              <w:rPr>
                <w:rStyle w:val="simple"/>
                <w:rFonts w:eastAsia="Times New Roman"/>
                <w:sz w:val="18"/>
                <w:szCs w:val="18"/>
              </w:rPr>
              <w:t>0.003</w:t>
            </w:r>
          </w:p>
        </w:tc>
      </w:tr>
      <w:tr w:rsidR="00110056" w:rsidRPr="00F1132F" w:rsidTr="000A728A">
        <w:trPr>
          <w:tblHeader/>
          <w:jc w:val="center"/>
        </w:trPr>
        <w:tc>
          <w:tcPr>
            <w:tcW w:w="2047" w:type="pct"/>
            <w:hideMark/>
          </w:tcPr>
          <w:p w:rsidR="00ED12A8" w:rsidRPr="00F1132F" w:rsidRDefault="00555858">
            <w:pPr>
              <w:rPr>
                <w:rFonts w:eastAsia="Times New Roman"/>
                <w:sz w:val="18"/>
                <w:szCs w:val="18"/>
              </w:rPr>
            </w:pPr>
            <w:r w:rsidRPr="00F1132F">
              <w:rPr>
                <w:rStyle w:val="simple"/>
                <w:rFonts w:eastAsia="Times New Roman"/>
                <w:sz w:val="18"/>
                <w:szCs w:val="18"/>
              </w:rPr>
              <w:t>Age, mean (SD)</w:t>
            </w:r>
          </w:p>
        </w:tc>
        <w:tc>
          <w:tcPr>
            <w:tcW w:w="758" w:type="pct"/>
            <w:hideMark/>
          </w:tcPr>
          <w:p w:rsidR="00ED12A8" w:rsidRPr="00F1132F" w:rsidRDefault="00555858">
            <w:pPr>
              <w:rPr>
                <w:rFonts w:eastAsia="Times New Roman"/>
                <w:sz w:val="18"/>
                <w:szCs w:val="18"/>
              </w:rPr>
            </w:pPr>
            <w:r w:rsidRPr="00F1132F">
              <w:rPr>
                <w:rStyle w:val="simple"/>
                <w:rFonts w:eastAsia="Times New Roman"/>
                <w:sz w:val="18"/>
                <w:szCs w:val="18"/>
              </w:rPr>
              <w:t>29.9 (4.84)</w:t>
            </w:r>
          </w:p>
        </w:tc>
        <w:tc>
          <w:tcPr>
            <w:tcW w:w="847" w:type="pct"/>
            <w:hideMark/>
          </w:tcPr>
          <w:p w:rsidR="00ED12A8" w:rsidRPr="00F1132F" w:rsidRDefault="00555858">
            <w:pPr>
              <w:rPr>
                <w:rFonts w:eastAsia="Times New Roman"/>
                <w:sz w:val="18"/>
                <w:szCs w:val="18"/>
              </w:rPr>
            </w:pPr>
            <w:r w:rsidRPr="00F1132F">
              <w:rPr>
                <w:rStyle w:val="simple"/>
                <w:rFonts w:eastAsia="Times New Roman"/>
                <w:sz w:val="18"/>
                <w:szCs w:val="18"/>
              </w:rPr>
              <w:t>30 (5.17)</w:t>
            </w:r>
          </w:p>
        </w:tc>
        <w:tc>
          <w:tcPr>
            <w:tcW w:w="936" w:type="pct"/>
            <w:hideMark/>
          </w:tcPr>
          <w:p w:rsidR="00ED12A8" w:rsidRPr="00F1132F" w:rsidRDefault="00555858">
            <w:pPr>
              <w:rPr>
                <w:rFonts w:eastAsia="Times New Roman"/>
                <w:sz w:val="18"/>
                <w:szCs w:val="18"/>
              </w:rPr>
            </w:pPr>
            <w:r w:rsidRPr="00F1132F">
              <w:rPr>
                <w:rStyle w:val="simple"/>
                <w:rFonts w:eastAsia="Times New Roman"/>
                <w:sz w:val="18"/>
                <w:szCs w:val="18"/>
              </w:rPr>
              <w:t>29.9 (4.79)</w:t>
            </w:r>
          </w:p>
        </w:tc>
        <w:tc>
          <w:tcPr>
            <w:tcW w:w="412" w:type="pct"/>
            <w:hideMark/>
          </w:tcPr>
          <w:p w:rsidR="00ED12A8" w:rsidRPr="00F1132F" w:rsidRDefault="00555858">
            <w:pPr>
              <w:rPr>
                <w:rFonts w:eastAsia="Times New Roman"/>
                <w:sz w:val="18"/>
                <w:szCs w:val="18"/>
              </w:rPr>
            </w:pPr>
            <w:r w:rsidRPr="00F1132F">
              <w:rPr>
                <w:rStyle w:val="simple"/>
                <w:rFonts w:eastAsia="Times New Roman"/>
                <w:sz w:val="18"/>
                <w:szCs w:val="18"/>
              </w:rPr>
              <w:t>0.743</w:t>
            </w:r>
          </w:p>
        </w:tc>
      </w:tr>
      <w:tr w:rsidR="00110056" w:rsidRPr="00F1132F" w:rsidTr="000A728A">
        <w:trPr>
          <w:tblHeader/>
          <w:jc w:val="center"/>
        </w:trPr>
        <w:tc>
          <w:tcPr>
            <w:tcW w:w="2047" w:type="pct"/>
            <w:hideMark/>
          </w:tcPr>
          <w:p w:rsidR="00ED12A8" w:rsidRPr="00F1132F" w:rsidRDefault="00555858">
            <w:pPr>
              <w:rPr>
                <w:rFonts w:eastAsia="Times New Roman"/>
                <w:sz w:val="18"/>
                <w:szCs w:val="18"/>
              </w:rPr>
            </w:pPr>
            <w:r w:rsidRPr="00F1132F">
              <w:rPr>
                <w:rStyle w:val="simple"/>
                <w:rFonts w:eastAsia="Times New Roman"/>
                <w:sz w:val="18"/>
                <w:szCs w:val="18"/>
              </w:rPr>
              <w:t>Nulliparous</w:t>
            </w:r>
          </w:p>
        </w:tc>
        <w:tc>
          <w:tcPr>
            <w:tcW w:w="758" w:type="pct"/>
            <w:hideMark/>
          </w:tcPr>
          <w:p w:rsidR="00ED12A8" w:rsidRPr="00F1132F" w:rsidRDefault="00555858">
            <w:pPr>
              <w:rPr>
                <w:rFonts w:eastAsia="Times New Roman"/>
                <w:sz w:val="18"/>
                <w:szCs w:val="18"/>
              </w:rPr>
            </w:pPr>
            <w:r w:rsidRPr="00F1132F">
              <w:rPr>
                <w:rStyle w:val="simple"/>
                <w:rFonts w:eastAsia="Times New Roman"/>
                <w:sz w:val="18"/>
                <w:szCs w:val="18"/>
              </w:rPr>
              <w:t>344 (45.9)</w:t>
            </w:r>
          </w:p>
        </w:tc>
        <w:tc>
          <w:tcPr>
            <w:tcW w:w="847" w:type="pct"/>
            <w:hideMark/>
          </w:tcPr>
          <w:p w:rsidR="00ED12A8" w:rsidRPr="00F1132F" w:rsidRDefault="00555858">
            <w:pPr>
              <w:rPr>
                <w:rFonts w:eastAsia="Times New Roman"/>
                <w:sz w:val="18"/>
                <w:szCs w:val="18"/>
              </w:rPr>
            </w:pPr>
            <w:r w:rsidRPr="00F1132F">
              <w:rPr>
                <w:rStyle w:val="simple"/>
                <w:rFonts w:eastAsia="Times New Roman"/>
                <w:sz w:val="18"/>
                <w:szCs w:val="18"/>
              </w:rPr>
              <w:t>39 (40.2)</w:t>
            </w:r>
          </w:p>
        </w:tc>
        <w:tc>
          <w:tcPr>
            <w:tcW w:w="936" w:type="pct"/>
            <w:hideMark/>
          </w:tcPr>
          <w:p w:rsidR="00ED12A8" w:rsidRPr="00F1132F" w:rsidRDefault="00555858">
            <w:pPr>
              <w:rPr>
                <w:rFonts w:eastAsia="Times New Roman"/>
                <w:sz w:val="18"/>
                <w:szCs w:val="18"/>
              </w:rPr>
            </w:pPr>
            <w:r w:rsidRPr="00F1132F">
              <w:rPr>
                <w:rStyle w:val="simple"/>
                <w:rFonts w:eastAsia="Times New Roman"/>
                <w:sz w:val="18"/>
                <w:szCs w:val="18"/>
              </w:rPr>
              <w:t>305 (46.8)</w:t>
            </w:r>
          </w:p>
        </w:tc>
        <w:tc>
          <w:tcPr>
            <w:tcW w:w="412" w:type="pct"/>
            <w:hideMark/>
          </w:tcPr>
          <w:p w:rsidR="00ED12A8" w:rsidRPr="00F1132F" w:rsidRDefault="00555858">
            <w:pPr>
              <w:rPr>
                <w:rFonts w:eastAsia="Times New Roman"/>
                <w:sz w:val="18"/>
                <w:szCs w:val="18"/>
              </w:rPr>
            </w:pPr>
            <w:r w:rsidRPr="00F1132F">
              <w:rPr>
                <w:rStyle w:val="simple"/>
                <w:rFonts w:eastAsia="Times New Roman"/>
                <w:sz w:val="18"/>
                <w:szCs w:val="18"/>
              </w:rPr>
              <w:t>0.226</w:t>
            </w:r>
          </w:p>
        </w:tc>
      </w:tr>
      <w:tr w:rsidR="00110056" w:rsidRPr="00F1132F" w:rsidTr="000A728A">
        <w:trPr>
          <w:tblHeader/>
          <w:jc w:val="center"/>
        </w:trPr>
        <w:tc>
          <w:tcPr>
            <w:tcW w:w="2047" w:type="pct"/>
            <w:hideMark/>
          </w:tcPr>
          <w:p w:rsidR="00ED12A8" w:rsidRPr="00F1132F" w:rsidRDefault="00555858">
            <w:pPr>
              <w:rPr>
                <w:rFonts w:eastAsia="Times New Roman"/>
                <w:sz w:val="18"/>
                <w:szCs w:val="18"/>
              </w:rPr>
            </w:pPr>
            <w:r w:rsidRPr="00F1132F">
              <w:rPr>
                <w:rStyle w:val="simple"/>
                <w:rFonts w:eastAsia="Times New Roman"/>
                <w:sz w:val="18"/>
                <w:szCs w:val="18"/>
              </w:rPr>
              <w:t>Single parenthood</w:t>
            </w:r>
            <w:r w:rsidR="00806E03" w:rsidRPr="00806E03">
              <w:rPr>
                <w:rFonts w:eastAsia="Times New Roman"/>
                <w:color w:val="FF0000"/>
                <w:sz w:val="18"/>
                <w:szCs w:val="18"/>
                <w:vertAlign w:val="superscript"/>
              </w:rPr>
              <w:t>1</w:t>
            </w:r>
          </w:p>
        </w:tc>
        <w:tc>
          <w:tcPr>
            <w:tcW w:w="758" w:type="pct"/>
            <w:hideMark/>
          </w:tcPr>
          <w:p w:rsidR="00ED12A8" w:rsidRPr="00F1132F" w:rsidRDefault="00555858">
            <w:pPr>
              <w:rPr>
                <w:rFonts w:eastAsia="Times New Roman"/>
                <w:sz w:val="18"/>
                <w:szCs w:val="18"/>
              </w:rPr>
            </w:pPr>
            <w:r w:rsidRPr="00F1132F">
              <w:rPr>
                <w:rStyle w:val="simple"/>
                <w:rFonts w:eastAsia="Times New Roman"/>
                <w:sz w:val="18"/>
                <w:szCs w:val="18"/>
              </w:rPr>
              <w:t>40 (5.3)</w:t>
            </w:r>
          </w:p>
        </w:tc>
        <w:tc>
          <w:tcPr>
            <w:tcW w:w="847" w:type="pct"/>
            <w:hideMark/>
          </w:tcPr>
          <w:p w:rsidR="00ED12A8" w:rsidRPr="00F1132F" w:rsidRDefault="00555858">
            <w:pPr>
              <w:rPr>
                <w:rFonts w:eastAsia="Times New Roman"/>
                <w:sz w:val="18"/>
                <w:szCs w:val="18"/>
              </w:rPr>
            </w:pPr>
            <w:r w:rsidRPr="00F1132F">
              <w:rPr>
                <w:rStyle w:val="simple"/>
                <w:rFonts w:eastAsia="Times New Roman"/>
                <w:sz w:val="18"/>
                <w:szCs w:val="18"/>
              </w:rPr>
              <w:t>11 (11.3)</w:t>
            </w:r>
          </w:p>
        </w:tc>
        <w:tc>
          <w:tcPr>
            <w:tcW w:w="936" w:type="pct"/>
            <w:hideMark/>
          </w:tcPr>
          <w:p w:rsidR="00ED12A8" w:rsidRPr="00F1132F" w:rsidRDefault="00555858">
            <w:pPr>
              <w:rPr>
                <w:rFonts w:eastAsia="Times New Roman"/>
                <w:sz w:val="18"/>
                <w:szCs w:val="18"/>
              </w:rPr>
            </w:pPr>
            <w:r w:rsidRPr="00F1132F">
              <w:rPr>
                <w:rStyle w:val="simple"/>
                <w:rFonts w:eastAsia="Times New Roman"/>
                <w:sz w:val="18"/>
                <w:szCs w:val="18"/>
              </w:rPr>
              <w:t>29 (4.4)</w:t>
            </w:r>
          </w:p>
        </w:tc>
        <w:tc>
          <w:tcPr>
            <w:tcW w:w="412" w:type="pct"/>
            <w:hideMark/>
          </w:tcPr>
          <w:p w:rsidR="00ED12A8" w:rsidRPr="00F1132F" w:rsidRDefault="00555858">
            <w:pPr>
              <w:rPr>
                <w:rFonts w:eastAsia="Times New Roman"/>
                <w:sz w:val="18"/>
                <w:szCs w:val="18"/>
              </w:rPr>
            </w:pPr>
            <w:r w:rsidRPr="00F1132F">
              <w:rPr>
                <w:rStyle w:val="simple"/>
                <w:rFonts w:eastAsia="Times New Roman"/>
                <w:sz w:val="18"/>
                <w:szCs w:val="18"/>
              </w:rPr>
              <w:t>0.005</w:t>
            </w:r>
          </w:p>
        </w:tc>
      </w:tr>
      <w:tr w:rsidR="00ED12A8" w:rsidRPr="00F1132F" w:rsidTr="00110056">
        <w:trPr>
          <w:tblHeader/>
          <w:jc w:val="center"/>
        </w:trPr>
        <w:tc>
          <w:tcPr>
            <w:tcW w:w="5000" w:type="pct"/>
            <w:gridSpan w:val="5"/>
            <w:hideMark/>
          </w:tcPr>
          <w:p w:rsidR="00ED12A8" w:rsidRPr="00F1132F" w:rsidRDefault="00555858">
            <w:pPr>
              <w:rPr>
                <w:rFonts w:eastAsia="Times New Roman"/>
                <w:sz w:val="18"/>
                <w:szCs w:val="18"/>
              </w:rPr>
            </w:pPr>
            <w:r w:rsidRPr="00F1132F">
              <w:rPr>
                <w:rStyle w:val="simple"/>
                <w:rFonts w:eastAsia="Times New Roman"/>
                <w:sz w:val="18"/>
                <w:szCs w:val="18"/>
              </w:rPr>
              <w:t>Educational level</w:t>
            </w:r>
          </w:p>
        </w:tc>
      </w:tr>
      <w:tr w:rsidR="00110056" w:rsidRPr="00F1132F" w:rsidTr="000A728A">
        <w:trPr>
          <w:tblHeader/>
          <w:jc w:val="center"/>
        </w:trPr>
        <w:tc>
          <w:tcPr>
            <w:tcW w:w="2047" w:type="pct"/>
            <w:hideMark/>
          </w:tcPr>
          <w:p w:rsidR="00ED12A8" w:rsidRPr="00F1132F" w:rsidRDefault="00555858">
            <w:pPr>
              <w:rPr>
                <w:rFonts w:eastAsia="Times New Roman"/>
                <w:sz w:val="18"/>
                <w:szCs w:val="18"/>
              </w:rPr>
            </w:pPr>
            <w:r w:rsidRPr="00F1132F">
              <w:rPr>
                <w:rStyle w:val="simple"/>
                <w:rFonts w:eastAsia="Times New Roman"/>
                <w:sz w:val="18"/>
                <w:szCs w:val="18"/>
              </w:rPr>
              <w:t>     &lt;10 years education</w:t>
            </w:r>
          </w:p>
        </w:tc>
        <w:tc>
          <w:tcPr>
            <w:tcW w:w="758" w:type="pct"/>
            <w:hideMark/>
          </w:tcPr>
          <w:p w:rsidR="00ED12A8" w:rsidRPr="00F1132F" w:rsidRDefault="00555858">
            <w:pPr>
              <w:rPr>
                <w:rFonts w:eastAsia="Times New Roman"/>
                <w:sz w:val="18"/>
                <w:szCs w:val="18"/>
              </w:rPr>
            </w:pPr>
            <w:r w:rsidRPr="00F1132F">
              <w:rPr>
                <w:rStyle w:val="simple"/>
                <w:rFonts w:eastAsia="Times New Roman"/>
                <w:sz w:val="18"/>
                <w:szCs w:val="18"/>
              </w:rPr>
              <w:t>120 (16.1)</w:t>
            </w:r>
          </w:p>
        </w:tc>
        <w:tc>
          <w:tcPr>
            <w:tcW w:w="847" w:type="pct"/>
            <w:hideMark/>
          </w:tcPr>
          <w:p w:rsidR="00ED12A8" w:rsidRPr="00F1132F" w:rsidRDefault="00555858">
            <w:pPr>
              <w:rPr>
                <w:rFonts w:eastAsia="Times New Roman"/>
                <w:sz w:val="18"/>
                <w:szCs w:val="18"/>
              </w:rPr>
            </w:pPr>
            <w:r w:rsidRPr="00F1132F">
              <w:rPr>
                <w:rStyle w:val="simple"/>
                <w:rFonts w:eastAsia="Times New Roman"/>
                <w:sz w:val="18"/>
                <w:szCs w:val="18"/>
              </w:rPr>
              <w:t>19 (15.6)</w:t>
            </w:r>
          </w:p>
        </w:tc>
        <w:tc>
          <w:tcPr>
            <w:tcW w:w="936" w:type="pct"/>
            <w:hideMark/>
          </w:tcPr>
          <w:p w:rsidR="00ED12A8" w:rsidRPr="00F1132F" w:rsidRDefault="00555858">
            <w:pPr>
              <w:rPr>
                <w:rFonts w:eastAsia="Times New Roman"/>
                <w:sz w:val="18"/>
                <w:szCs w:val="18"/>
              </w:rPr>
            </w:pPr>
            <w:r w:rsidRPr="00F1132F">
              <w:rPr>
                <w:rStyle w:val="simple"/>
                <w:rFonts w:eastAsia="Times New Roman"/>
                <w:sz w:val="18"/>
                <w:szCs w:val="18"/>
              </w:rPr>
              <w:t>101 (19.6)</w:t>
            </w:r>
          </w:p>
        </w:tc>
        <w:tc>
          <w:tcPr>
            <w:tcW w:w="412" w:type="pct"/>
            <w:hideMark/>
          </w:tcPr>
          <w:p w:rsidR="00ED12A8" w:rsidRPr="00F1132F" w:rsidRDefault="00555858">
            <w:pPr>
              <w:rPr>
                <w:rFonts w:eastAsia="Times New Roman"/>
                <w:sz w:val="18"/>
                <w:szCs w:val="18"/>
              </w:rPr>
            </w:pPr>
            <w:r w:rsidRPr="00F1132F">
              <w:rPr>
                <w:rStyle w:val="simple"/>
                <w:rFonts w:eastAsia="Times New Roman"/>
                <w:sz w:val="18"/>
                <w:szCs w:val="18"/>
              </w:rPr>
              <w:t>0.721</w:t>
            </w:r>
          </w:p>
        </w:tc>
      </w:tr>
      <w:tr w:rsidR="00110056" w:rsidRPr="00F1132F" w:rsidTr="000A728A">
        <w:trPr>
          <w:tblHeader/>
          <w:jc w:val="center"/>
        </w:trPr>
        <w:tc>
          <w:tcPr>
            <w:tcW w:w="2047" w:type="pct"/>
            <w:hideMark/>
          </w:tcPr>
          <w:p w:rsidR="00ED12A8" w:rsidRPr="00F1132F" w:rsidRDefault="00555858">
            <w:pPr>
              <w:rPr>
                <w:rFonts w:eastAsia="Times New Roman"/>
                <w:sz w:val="18"/>
                <w:szCs w:val="18"/>
              </w:rPr>
            </w:pPr>
            <w:r w:rsidRPr="00F1132F">
              <w:rPr>
                <w:rStyle w:val="simple"/>
                <w:rFonts w:eastAsia="Times New Roman"/>
                <w:sz w:val="18"/>
                <w:szCs w:val="18"/>
              </w:rPr>
              <w:t>     10-12 yrs, secondary level</w:t>
            </w:r>
          </w:p>
        </w:tc>
        <w:tc>
          <w:tcPr>
            <w:tcW w:w="758" w:type="pct"/>
            <w:hideMark/>
          </w:tcPr>
          <w:p w:rsidR="00ED12A8" w:rsidRPr="00F1132F" w:rsidRDefault="00555858">
            <w:pPr>
              <w:rPr>
                <w:rFonts w:eastAsia="Times New Roman"/>
                <w:sz w:val="18"/>
                <w:szCs w:val="18"/>
              </w:rPr>
            </w:pPr>
            <w:r w:rsidRPr="00F1132F">
              <w:rPr>
                <w:rStyle w:val="simple"/>
                <w:rFonts w:eastAsia="Times New Roman"/>
                <w:sz w:val="18"/>
                <w:szCs w:val="18"/>
              </w:rPr>
              <w:t>295 (39.7)</w:t>
            </w:r>
          </w:p>
        </w:tc>
        <w:tc>
          <w:tcPr>
            <w:tcW w:w="847" w:type="pct"/>
            <w:hideMark/>
          </w:tcPr>
          <w:p w:rsidR="00ED12A8" w:rsidRPr="00F1132F" w:rsidRDefault="00555858">
            <w:pPr>
              <w:rPr>
                <w:rFonts w:eastAsia="Times New Roman"/>
                <w:sz w:val="18"/>
                <w:szCs w:val="18"/>
              </w:rPr>
            </w:pPr>
            <w:r w:rsidRPr="00F1132F">
              <w:rPr>
                <w:rStyle w:val="simple"/>
                <w:rFonts w:eastAsia="Times New Roman"/>
                <w:sz w:val="18"/>
                <w:szCs w:val="18"/>
              </w:rPr>
              <w:t>39 (39.6)</w:t>
            </w:r>
          </w:p>
        </w:tc>
        <w:tc>
          <w:tcPr>
            <w:tcW w:w="936" w:type="pct"/>
            <w:hideMark/>
          </w:tcPr>
          <w:p w:rsidR="00ED12A8" w:rsidRPr="00F1132F" w:rsidRDefault="00555858">
            <w:pPr>
              <w:rPr>
                <w:rFonts w:eastAsia="Times New Roman"/>
                <w:sz w:val="18"/>
                <w:szCs w:val="18"/>
              </w:rPr>
            </w:pPr>
            <w:r w:rsidRPr="00F1132F">
              <w:rPr>
                <w:rStyle w:val="simple"/>
                <w:rFonts w:eastAsia="Times New Roman"/>
                <w:sz w:val="18"/>
                <w:szCs w:val="18"/>
              </w:rPr>
              <w:t>256 (39.8)</w:t>
            </w:r>
          </w:p>
        </w:tc>
        <w:tc>
          <w:tcPr>
            <w:tcW w:w="412" w:type="pct"/>
            <w:hideMark/>
          </w:tcPr>
          <w:p w:rsidR="00ED12A8" w:rsidRPr="00F1132F" w:rsidRDefault="00ED12A8">
            <w:pPr>
              <w:rPr>
                <w:rFonts w:eastAsia="Times New Roman"/>
                <w:sz w:val="18"/>
                <w:szCs w:val="18"/>
              </w:rPr>
            </w:pPr>
          </w:p>
        </w:tc>
      </w:tr>
      <w:tr w:rsidR="00110056" w:rsidRPr="00F1132F" w:rsidTr="000A728A">
        <w:trPr>
          <w:tblHeader/>
          <w:jc w:val="center"/>
        </w:trPr>
        <w:tc>
          <w:tcPr>
            <w:tcW w:w="2047" w:type="pct"/>
            <w:hideMark/>
          </w:tcPr>
          <w:p w:rsidR="00ED12A8" w:rsidRPr="00F1132F" w:rsidRDefault="00555858">
            <w:pPr>
              <w:rPr>
                <w:rFonts w:eastAsia="Times New Roman"/>
                <w:sz w:val="18"/>
                <w:szCs w:val="18"/>
              </w:rPr>
            </w:pPr>
            <w:r w:rsidRPr="00F1132F">
              <w:rPr>
                <w:rStyle w:val="simple"/>
                <w:rFonts w:eastAsia="Times New Roman"/>
                <w:sz w:val="18"/>
                <w:szCs w:val="18"/>
              </w:rPr>
              <w:t>     up to 4 years of higher education</w:t>
            </w:r>
          </w:p>
        </w:tc>
        <w:tc>
          <w:tcPr>
            <w:tcW w:w="758" w:type="pct"/>
            <w:hideMark/>
          </w:tcPr>
          <w:p w:rsidR="00ED12A8" w:rsidRPr="00F1132F" w:rsidRDefault="00555858">
            <w:pPr>
              <w:rPr>
                <w:rFonts w:eastAsia="Times New Roman"/>
                <w:sz w:val="18"/>
                <w:szCs w:val="18"/>
              </w:rPr>
            </w:pPr>
            <w:r w:rsidRPr="00F1132F">
              <w:rPr>
                <w:rStyle w:val="simple"/>
                <w:rFonts w:eastAsia="Times New Roman"/>
                <w:sz w:val="18"/>
                <w:szCs w:val="18"/>
              </w:rPr>
              <w:t>229 (30.8)</w:t>
            </w:r>
          </w:p>
        </w:tc>
        <w:tc>
          <w:tcPr>
            <w:tcW w:w="847" w:type="pct"/>
            <w:hideMark/>
          </w:tcPr>
          <w:p w:rsidR="00ED12A8" w:rsidRPr="00F1132F" w:rsidRDefault="00555858">
            <w:pPr>
              <w:rPr>
                <w:rFonts w:eastAsia="Times New Roman"/>
                <w:sz w:val="18"/>
                <w:szCs w:val="18"/>
              </w:rPr>
            </w:pPr>
            <w:r w:rsidRPr="00F1132F">
              <w:rPr>
                <w:rStyle w:val="simple"/>
                <w:rFonts w:eastAsia="Times New Roman"/>
                <w:sz w:val="18"/>
                <w:szCs w:val="18"/>
              </w:rPr>
              <w:t>28 (28.9)</w:t>
            </w:r>
          </w:p>
        </w:tc>
        <w:tc>
          <w:tcPr>
            <w:tcW w:w="936" w:type="pct"/>
            <w:hideMark/>
          </w:tcPr>
          <w:p w:rsidR="00ED12A8" w:rsidRPr="00F1132F" w:rsidRDefault="00555858">
            <w:pPr>
              <w:rPr>
                <w:rFonts w:eastAsia="Times New Roman"/>
                <w:sz w:val="18"/>
                <w:szCs w:val="18"/>
              </w:rPr>
            </w:pPr>
            <w:r w:rsidRPr="00F1132F">
              <w:rPr>
                <w:rStyle w:val="simple"/>
                <w:rFonts w:eastAsia="Times New Roman"/>
                <w:sz w:val="18"/>
                <w:szCs w:val="18"/>
              </w:rPr>
              <w:t>201 (31.1)</w:t>
            </w:r>
          </w:p>
        </w:tc>
        <w:tc>
          <w:tcPr>
            <w:tcW w:w="412" w:type="pct"/>
            <w:hideMark/>
          </w:tcPr>
          <w:p w:rsidR="00ED12A8" w:rsidRPr="00F1132F" w:rsidRDefault="00ED12A8">
            <w:pPr>
              <w:rPr>
                <w:rFonts w:eastAsia="Times New Roman"/>
                <w:sz w:val="18"/>
                <w:szCs w:val="18"/>
              </w:rPr>
            </w:pPr>
          </w:p>
        </w:tc>
      </w:tr>
      <w:tr w:rsidR="00110056" w:rsidRPr="00F1132F" w:rsidTr="000A728A">
        <w:trPr>
          <w:tblHeader/>
          <w:jc w:val="center"/>
        </w:trPr>
        <w:tc>
          <w:tcPr>
            <w:tcW w:w="2047" w:type="pct"/>
            <w:hideMark/>
          </w:tcPr>
          <w:p w:rsidR="00ED12A8" w:rsidRPr="00F1132F" w:rsidRDefault="00555858">
            <w:pPr>
              <w:rPr>
                <w:rFonts w:eastAsia="Times New Roman"/>
                <w:sz w:val="18"/>
                <w:szCs w:val="18"/>
              </w:rPr>
            </w:pPr>
            <w:r w:rsidRPr="00F1132F">
              <w:rPr>
                <w:rStyle w:val="simple"/>
                <w:rFonts w:eastAsia="Times New Roman"/>
                <w:sz w:val="18"/>
                <w:szCs w:val="18"/>
              </w:rPr>
              <w:t>     university/college</w:t>
            </w:r>
          </w:p>
        </w:tc>
        <w:tc>
          <w:tcPr>
            <w:tcW w:w="758" w:type="pct"/>
            <w:hideMark/>
          </w:tcPr>
          <w:p w:rsidR="00ED12A8" w:rsidRPr="00F1132F" w:rsidRDefault="00555858">
            <w:pPr>
              <w:rPr>
                <w:rFonts w:eastAsia="Times New Roman"/>
                <w:sz w:val="18"/>
                <w:szCs w:val="18"/>
              </w:rPr>
            </w:pPr>
            <w:r w:rsidRPr="00F1132F">
              <w:rPr>
                <w:rStyle w:val="simple"/>
                <w:rFonts w:eastAsia="Times New Roman"/>
                <w:sz w:val="18"/>
                <w:szCs w:val="18"/>
              </w:rPr>
              <w:t>100 (13.4)</w:t>
            </w:r>
          </w:p>
        </w:tc>
        <w:tc>
          <w:tcPr>
            <w:tcW w:w="847" w:type="pct"/>
            <w:hideMark/>
          </w:tcPr>
          <w:p w:rsidR="00ED12A8" w:rsidRPr="00F1132F" w:rsidRDefault="00555858">
            <w:pPr>
              <w:rPr>
                <w:rFonts w:eastAsia="Times New Roman"/>
                <w:sz w:val="18"/>
                <w:szCs w:val="18"/>
              </w:rPr>
            </w:pPr>
            <w:r w:rsidRPr="00F1132F">
              <w:rPr>
                <w:rStyle w:val="simple"/>
                <w:rFonts w:eastAsia="Times New Roman"/>
                <w:sz w:val="18"/>
                <w:szCs w:val="18"/>
              </w:rPr>
              <w:t>11 (11.3)</w:t>
            </w:r>
          </w:p>
        </w:tc>
        <w:tc>
          <w:tcPr>
            <w:tcW w:w="936" w:type="pct"/>
            <w:hideMark/>
          </w:tcPr>
          <w:p w:rsidR="00ED12A8" w:rsidRPr="00F1132F" w:rsidRDefault="00555858">
            <w:pPr>
              <w:rPr>
                <w:rFonts w:eastAsia="Times New Roman"/>
                <w:sz w:val="18"/>
                <w:szCs w:val="18"/>
              </w:rPr>
            </w:pPr>
            <w:r w:rsidRPr="00F1132F">
              <w:rPr>
                <w:rStyle w:val="simple"/>
                <w:rFonts w:eastAsia="Times New Roman"/>
                <w:sz w:val="18"/>
                <w:szCs w:val="18"/>
              </w:rPr>
              <w:t>89 (13.8)</w:t>
            </w:r>
          </w:p>
        </w:tc>
        <w:tc>
          <w:tcPr>
            <w:tcW w:w="412" w:type="pct"/>
            <w:hideMark/>
          </w:tcPr>
          <w:p w:rsidR="00ED12A8" w:rsidRPr="00F1132F" w:rsidRDefault="00ED12A8">
            <w:pPr>
              <w:rPr>
                <w:rFonts w:eastAsia="Times New Roman"/>
                <w:sz w:val="18"/>
                <w:szCs w:val="18"/>
              </w:rPr>
            </w:pPr>
          </w:p>
        </w:tc>
      </w:tr>
      <w:tr w:rsidR="00110056" w:rsidRPr="00F1132F" w:rsidTr="000A728A">
        <w:trPr>
          <w:tblHeader/>
          <w:jc w:val="center"/>
        </w:trPr>
        <w:tc>
          <w:tcPr>
            <w:tcW w:w="2047" w:type="pct"/>
            <w:hideMark/>
          </w:tcPr>
          <w:p w:rsidR="00ED12A8" w:rsidRPr="00F1132F" w:rsidRDefault="00555858">
            <w:pPr>
              <w:rPr>
                <w:rFonts w:eastAsia="Times New Roman"/>
                <w:sz w:val="18"/>
                <w:szCs w:val="18"/>
              </w:rPr>
            </w:pPr>
            <w:r w:rsidRPr="00F1132F">
              <w:rPr>
                <w:rStyle w:val="simple"/>
                <w:rFonts w:eastAsia="Times New Roman"/>
                <w:sz w:val="18"/>
                <w:szCs w:val="18"/>
              </w:rPr>
              <w:t>Unemployed/working disabled (pre-pregnant)</w:t>
            </w:r>
          </w:p>
        </w:tc>
        <w:tc>
          <w:tcPr>
            <w:tcW w:w="758" w:type="pct"/>
            <w:hideMark/>
          </w:tcPr>
          <w:p w:rsidR="00ED12A8" w:rsidRPr="00F1132F" w:rsidRDefault="00555858">
            <w:pPr>
              <w:rPr>
                <w:rFonts w:eastAsia="Times New Roman"/>
                <w:sz w:val="18"/>
                <w:szCs w:val="18"/>
              </w:rPr>
            </w:pPr>
            <w:r w:rsidRPr="00F1132F">
              <w:rPr>
                <w:rStyle w:val="simple"/>
                <w:rFonts w:eastAsia="Times New Roman"/>
                <w:sz w:val="18"/>
                <w:szCs w:val="18"/>
              </w:rPr>
              <w:t>219 (29.5)</w:t>
            </w:r>
          </w:p>
        </w:tc>
        <w:tc>
          <w:tcPr>
            <w:tcW w:w="847" w:type="pct"/>
            <w:hideMark/>
          </w:tcPr>
          <w:p w:rsidR="00ED12A8" w:rsidRPr="00F1132F" w:rsidRDefault="00555858">
            <w:pPr>
              <w:rPr>
                <w:rFonts w:eastAsia="Times New Roman"/>
                <w:sz w:val="18"/>
                <w:szCs w:val="18"/>
              </w:rPr>
            </w:pPr>
            <w:r w:rsidRPr="00F1132F">
              <w:rPr>
                <w:rStyle w:val="simple"/>
                <w:rFonts w:eastAsia="Times New Roman"/>
                <w:sz w:val="18"/>
                <w:szCs w:val="18"/>
              </w:rPr>
              <w:t>39 (40.2)</w:t>
            </w:r>
          </w:p>
        </w:tc>
        <w:tc>
          <w:tcPr>
            <w:tcW w:w="936" w:type="pct"/>
            <w:hideMark/>
          </w:tcPr>
          <w:p w:rsidR="00ED12A8" w:rsidRPr="00F1132F" w:rsidRDefault="00555858">
            <w:pPr>
              <w:rPr>
                <w:rFonts w:eastAsia="Times New Roman"/>
                <w:sz w:val="18"/>
                <w:szCs w:val="18"/>
              </w:rPr>
            </w:pPr>
            <w:r w:rsidRPr="00F1132F">
              <w:rPr>
                <w:rStyle w:val="simple"/>
                <w:rFonts w:eastAsia="Times New Roman"/>
                <w:sz w:val="18"/>
                <w:szCs w:val="18"/>
              </w:rPr>
              <w:t>180 (27.9)</w:t>
            </w:r>
          </w:p>
        </w:tc>
        <w:tc>
          <w:tcPr>
            <w:tcW w:w="412" w:type="pct"/>
            <w:hideMark/>
          </w:tcPr>
          <w:p w:rsidR="00ED12A8" w:rsidRPr="00F1132F" w:rsidRDefault="00555858">
            <w:pPr>
              <w:rPr>
                <w:rFonts w:eastAsia="Times New Roman"/>
                <w:sz w:val="18"/>
                <w:szCs w:val="18"/>
              </w:rPr>
            </w:pPr>
            <w:r w:rsidRPr="00F1132F">
              <w:rPr>
                <w:rStyle w:val="simple"/>
                <w:rFonts w:eastAsia="Times New Roman"/>
                <w:sz w:val="18"/>
                <w:szCs w:val="18"/>
              </w:rPr>
              <w:t>0.013</w:t>
            </w:r>
          </w:p>
        </w:tc>
      </w:tr>
      <w:tr w:rsidR="00110056" w:rsidRPr="00F1132F" w:rsidTr="000A728A">
        <w:trPr>
          <w:tblHeader/>
          <w:jc w:val="center"/>
        </w:trPr>
        <w:tc>
          <w:tcPr>
            <w:tcW w:w="2047" w:type="pct"/>
            <w:hideMark/>
          </w:tcPr>
          <w:p w:rsidR="00ED12A8" w:rsidRPr="00F1132F" w:rsidRDefault="00555858">
            <w:pPr>
              <w:rPr>
                <w:rFonts w:eastAsia="Times New Roman"/>
                <w:sz w:val="18"/>
                <w:szCs w:val="18"/>
              </w:rPr>
            </w:pPr>
            <w:r w:rsidRPr="00F1132F">
              <w:rPr>
                <w:rStyle w:val="simple"/>
                <w:rFonts w:eastAsia="Times New Roman"/>
                <w:sz w:val="18"/>
                <w:szCs w:val="18"/>
              </w:rPr>
              <w:t>Proportion with low SEP score</w:t>
            </w:r>
          </w:p>
        </w:tc>
        <w:tc>
          <w:tcPr>
            <w:tcW w:w="758" w:type="pct"/>
            <w:hideMark/>
          </w:tcPr>
          <w:p w:rsidR="00ED12A8" w:rsidRPr="00F1132F" w:rsidRDefault="00555858">
            <w:pPr>
              <w:rPr>
                <w:rFonts w:eastAsia="Times New Roman"/>
                <w:sz w:val="18"/>
                <w:szCs w:val="18"/>
              </w:rPr>
            </w:pPr>
            <w:r w:rsidRPr="00F1132F">
              <w:rPr>
                <w:rStyle w:val="simple"/>
                <w:rFonts w:eastAsia="Times New Roman"/>
                <w:sz w:val="18"/>
                <w:szCs w:val="18"/>
              </w:rPr>
              <w:t>294 (39.3)</w:t>
            </w:r>
          </w:p>
        </w:tc>
        <w:tc>
          <w:tcPr>
            <w:tcW w:w="847" w:type="pct"/>
            <w:hideMark/>
          </w:tcPr>
          <w:p w:rsidR="00ED12A8" w:rsidRPr="00F1132F" w:rsidRDefault="00555858">
            <w:pPr>
              <w:rPr>
                <w:rFonts w:eastAsia="Times New Roman"/>
                <w:sz w:val="18"/>
                <w:szCs w:val="18"/>
              </w:rPr>
            </w:pPr>
            <w:r w:rsidRPr="00F1132F">
              <w:rPr>
                <w:rStyle w:val="simple"/>
                <w:rFonts w:eastAsia="Times New Roman"/>
                <w:sz w:val="18"/>
                <w:szCs w:val="18"/>
              </w:rPr>
              <w:t>48 (49.5)</w:t>
            </w:r>
          </w:p>
        </w:tc>
        <w:tc>
          <w:tcPr>
            <w:tcW w:w="936" w:type="pct"/>
            <w:hideMark/>
          </w:tcPr>
          <w:p w:rsidR="00ED12A8" w:rsidRPr="00F1132F" w:rsidRDefault="00555858">
            <w:pPr>
              <w:rPr>
                <w:rFonts w:eastAsia="Times New Roman"/>
                <w:sz w:val="18"/>
                <w:szCs w:val="18"/>
              </w:rPr>
            </w:pPr>
            <w:r w:rsidRPr="00F1132F">
              <w:rPr>
                <w:rStyle w:val="simple"/>
                <w:rFonts w:eastAsia="Times New Roman"/>
                <w:sz w:val="18"/>
                <w:szCs w:val="18"/>
              </w:rPr>
              <w:t>246 (37.7)</w:t>
            </w:r>
          </w:p>
        </w:tc>
        <w:tc>
          <w:tcPr>
            <w:tcW w:w="412" w:type="pct"/>
            <w:hideMark/>
          </w:tcPr>
          <w:p w:rsidR="00ED12A8" w:rsidRPr="00F1132F" w:rsidRDefault="00555858">
            <w:pPr>
              <w:rPr>
                <w:rFonts w:eastAsia="Times New Roman"/>
                <w:sz w:val="18"/>
                <w:szCs w:val="18"/>
              </w:rPr>
            </w:pPr>
            <w:r w:rsidRPr="00F1132F">
              <w:rPr>
                <w:rStyle w:val="simple"/>
                <w:rFonts w:eastAsia="Times New Roman"/>
                <w:sz w:val="18"/>
                <w:szCs w:val="18"/>
              </w:rPr>
              <w:t>0.027</w:t>
            </w:r>
          </w:p>
        </w:tc>
      </w:tr>
      <w:tr w:rsidR="00110056" w:rsidRPr="00F1132F" w:rsidTr="000A728A">
        <w:trPr>
          <w:tblHeader/>
          <w:jc w:val="center"/>
        </w:trPr>
        <w:tc>
          <w:tcPr>
            <w:tcW w:w="2047" w:type="pct"/>
            <w:hideMark/>
          </w:tcPr>
          <w:p w:rsidR="00ED12A8" w:rsidRPr="00F1132F" w:rsidRDefault="00555858">
            <w:pPr>
              <w:rPr>
                <w:rFonts w:eastAsia="Times New Roman"/>
                <w:sz w:val="18"/>
                <w:szCs w:val="18"/>
              </w:rPr>
            </w:pPr>
            <w:r w:rsidRPr="00F1132F">
              <w:rPr>
                <w:rStyle w:val="simple"/>
                <w:rFonts w:eastAsia="Times New Roman"/>
                <w:sz w:val="18"/>
                <w:szCs w:val="18"/>
              </w:rPr>
              <w:t>Proportion with low score for social integration</w:t>
            </w:r>
          </w:p>
        </w:tc>
        <w:tc>
          <w:tcPr>
            <w:tcW w:w="758" w:type="pct"/>
            <w:hideMark/>
          </w:tcPr>
          <w:p w:rsidR="00ED12A8" w:rsidRPr="00F1132F" w:rsidRDefault="00555858">
            <w:pPr>
              <w:rPr>
                <w:rFonts w:eastAsia="Times New Roman"/>
                <w:sz w:val="18"/>
                <w:szCs w:val="18"/>
              </w:rPr>
            </w:pPr>
            <w:r w:rsidRPr="00F1132F">
              <w:rPr>
                <w:rStyle w:val="simple"/>
                <w:rFonts w:eastAsia="Times New Roman"/>
                <w:sz w:val="18"/>
                <w:szCs w:val="18"/>
              </w:rPr>
              <w:t>300 (40.0)</w:t>
            </w:r>
          </w:p>
        </w:tc>
        <w:tc>
          <w:tcPr>
            <w:tcW w:w="847" w:type="pct"/>
            <w:hideMark/>
          </w:tcPr>
          <w:p w:rsidR="00ED12A8" w:rsidRPr="00F1132F" w:rsidRDefault="00555858">
            <w:pPr>
              <w:rPr>
                <w:rFonts w:eastAsia="Times New Roman"/>
                <w:sz w:val="18"/>
                <w:szCs w:val="18"/>
              </w:rPr>
            </w:pPr>
            <w:r w:rsidRPr="00F1132F">
              <w:rPr>
                <w:rStyle w:val="simple"/>
                <w:rFonts w:eastAsia="Times New Roman"/>
                <w:sz w:val="18"/>
                <w:szCs w:val="18"/>
              </w:rPr>
              <w:t>47 (48.5)</w:t>
            </w:r>
          </w:p>
        </w:tc>
        <w:tc>
          <w:tcPr>
            <w:tcW w:w="936" w:type="pct"/>
            <w:hideMark/>
          </w:tcPr>
          <w:p w:rsidR="00ED12A8" w:rsidRPr="00F1132F" w:rsidRDefault="00555858">
            <w:pPr>
              <w:rPr>
                <w:rFonts w:eastAsia="Times New Roman"/>
                <w:sz w:val="18"/>
                <w:szCs w:val="18"/>
              </w:rPr>
            </w:pPr>
            <w:r w:rsidRPr="00F1132F">
              <w:rPr>
                <w:rStyle w:val="simple"/>
                <w:rFonts w:eastAsia="Times New Roman"/>
                <w:sz w:val="18"/>
                <w:szCs w:val="18"/>
              </w:rPr>
              <w:t>253 (38.8)</w:t>
            </w:r>
          </w:p>
        </w:tc>
        <w:tc>
          <w:tcPr>
            <w:tcW w:w="412" w:type="pct"/>
            <w:hideMark/>
          </w:tcPr>
          <w:p w:rsidR="00ED12A8" w:rsidRPr="00F1132F" w:rsidRDefault="00555858">
            <w:pPr>
              <w:rPr>
                <w:rFonts w:eastAsia="Times New Roman"/>
                <w:sz w:val="18"/>
                <w:szCs w:val="18"/>
              </w:rPr>
            </w:pPr>
            <w:r w:rsidRPr="00F1132F">
              <w:rPr>
                <w:rStyle w:val="simple"/>
                <w:rFonts w:eastAsia="Times New Roman"/>
                <w:sz w:val="18"/>
                <w:szCs w:val="18"/>
              </w:rPr>
              <w:t>0.070</w:t>
            </w:r>
          </w:p>
        </w:tc>
        <w:bookmarkStart w:id="0" w:name="_GoBack"/>
        <w:bookmarkEnd w:id="0"/>
      </w:tr>
      <w:tr w:rsidR="00ED12A8" w:rsidRPr="00F1132F" w:rsidTr="00110056">
        <w:trPr>
          <w:tblHeader/>
          <w:jc w:val="center"/>
        </w:trPr>
        <w:tc>
          <w:tcPr>
            <w:tcW w:w="5000" w:type="pct"/>
            <w:gridSpan w:val="5"/>
            <w:hideMark/>
          </w:tcPr>
          <w:p w:rsidR="00ED12A8" w:rsidRPr="00F1132F" w:rsidRDefault="00555858">
            <w:pPr>
              <w:rPr>
                <w:rFonts w:eastAsia="Times New Roman"/>
                <w:sz w:val="18"/>
                <w:szCs w:val="18"/>
              </w:rPr>
            </w:pPr>
            <w:r w:rsidRPr="00F1132F">
              <w:rPr>
                <w:rStyle w:val="simple"/>
                <w:rFonts w:eastAsia="Times New Roman"/>
                <w:sz w:val="18"/>
                <w:szCs w:val="18"/>
              </w:rPr>
              <w:t>Sum score of recent adverse life events</w:t>
            </w:r>
            <w:r w:rsidRPr="00F1132F">
              <w:rPr>
                <w:rStyle w:val="simple"/>
                <w:rFonts w:eastAsia="Times New Roman"/>
                <w:sz w:val="18"/>
                <w:szCs w:val="18"/>
                <w:vertAlign w:val="superscript"/>
              </w:rPr>
              <w:t>2</w:t>
            </w:r>
          </w:p>
        </w:tc>
      </w:tr>
      <w:tr w:rsidR="00110056" w:rsidRPr="00F1132F" w:rsidTr="000A728A">
        <w:trPr>
          <w:tblHeader/>
          <w:jc w:val="center"/>
        </w:trPr>
        <w:tc>
          <w:tcPr>
            <w:tcW w:w="2047" w:type="pct"/>
            <w:hideMark/>
          </w:tcPr>
          <w:p w:rsidR="00ED12A8" w:rsidRPr="00F1132F" w:rsidRDefault="00555858">
            <w:pPr>
              <w:rPr>
                <w:rFonts w:eastAsia="Times New Roman"/>
                <w:sz w:val="18"/>
                <w:szCs w:val="18"/>
              </w:rPr>
            </w:pPr>
            <w:r w:rsidRPr="00F1132F">
              <w:rPr>
                <w:rStyle w:val="simple"/>
                <w:rFonts w:eastAsia="Times New Roman"/>
                <w:sz w:val="18"/>
                <w:szCs w:val="18"/>
              </w:rPr>
              <w:t>     0 or 1 event</w:t>
            </w:r>
          </w:p>
        </w:tc>
        <w:tc>
          <w:tcPr>
            <w:tcW w:w="758" w:type="pct"/>
            <w:hideMark/>
          </w:tcPr>
          <w:p w:rsidR="00ED12A8" w:rsidRPr="00F1132F" w:rsidRDefault="00555858">
            <w:pPr>
              <w:rPr>
                <w:rFonts w:eastAsia="Times New Roman"/>
                <w:sz w:val="18"/>
                <w:szCs w:val="18"/>
              </w:rPr>
            </w:pPr>
            <w:r w:rsidRPr="00F1132F">
              <w:rPr>
                <w:rStyle w:val="simple"/>
                <w:rFonts w:eastAsia="Times New Roman"/>
                <w:sz w:val="18"/>
                <w:szCs w:val="18"/>
              </w:rPr>
              <w:t>544 (76.2)</w:t>
            </w:r>
          </w:p>
        </w:tc>
        <w:tc>
          <w:tcPr>
            <w:tcW w:w="847" w:type="pct"/>
            <w:hideMark/>
          </w:tcPr>
          <w:p w:rsidR="00ED12A8" w:rsidRPr="00F1132F" w:rsidRDefault="00555858">
            <w:pPr>
              <w:rPr>
                <w:rFonts w:eastAsia="Times New Roman"/>
                <w:sz w:val="18"/>
                <w:szCs w:val="18"/>
              </w:rPr>
            </w:pPr>
            <w:r w:rsidRPr="00F1132F">
              <w:rPr>
                <w:rStyle w:val="simple"/>
                <w:rFonts w:eastAsia="Times New Roman"/>
                <w:sz w:val="18"/>
                <w:szCs w:val="18"/>
              </w:rPr>
              <w:t>49 (54.4)</w:t>
            </w:r>
          </w:p>
        </w:tc>
        <w:tc>
          <w:tcPr>
            <w:tcW w:w="936" w:type="pct"/>
            <w:hideMark/>
          </w:tcPr>
          <w:p w:rsidR="00ED12A8" w:rsidRPr="00F1132F" w:rsidRDefault="00555858">
            <w:pPr>
              <w:rPr>
                <w:rFonts w:eastAsia="Times New Roman"/>
                <w:sz w:val="18"/>
                <w:szCs w:val="18"/>
              </w:rPr>
            </w:pPr>
            <w:r w:rsidRPr="00F1132F">
              <w:rPr>
                <w:rStyle w:val="simple"/>
                <w:rFonts w:eastAsia="Times New Roman"/>
                <w:sz w:val="18"/>
                <w:szCs w:val="18"/>
              </w:rPr>
              <w:t>495 (79.3)</w:t>
            </w:r>
          </w:p>
        </w:tc>
        <w:tc>
          <w:tcPr>
            <w:tcW w:w="412" w:type="pct"/>
            <w:hideMark/>
          </w:tcPr>
          <w:p w:rsidR="00ED12A8" w:rsidRPr="00F1132F" w:rsidRDefault="00555858">
            <w:pPr>
              <w:rPr>
                <w:rFonts w:eastAsia="Times New Roman"/>
                <w:sz w:val="18"/>
                <w:szCs w:val="18"/>
              </w:rPr>
            </w:pPr>
            <w:r w:rsidRPr="00F1132F">
              <w:rPr>
                <w:rStyle w:val="simple"/>
                <w:rFonts w:eastAsia="Times New Roman"/>
                <w:sz w:val="18"/>
                <w:szCs w:val="18"/>
              </w:rPr>
              <w:t>&lt;0.001</w:t>
            </w:r>
          </w:p>
        </w:tc>
      </w:tr>
      <w:tr w:rsidR="00110056" w:rsidRPr="00F1132F" w:rsidTr="000A728A">
        <w:trPr>
          <w:tblHeader/>
          <w:jc w:val="center"/>
        </w:trPr>
        <w:tc>
          <w:tcPr>
            <w:tcW w:w="2047" w:type="pct"/>
            <w:hideMark/>
          </w:tcPr>
          <w:p w:rsidR="00ED12A8" w:rsidRPr="00F1132F" w:rsidRDefault="00555858">
            <w:pPr>
              <w:rPr>
                <w:rFonts w:eastAsia="Times New Roman"/>
                <w:sz w:val="18"/>
                <w:szCs w:val="18"/>
              </w:rPr>
            </w:pPr>
            <w:r w:rsidRPr="00F1132F">
              <w:rPr>
                <w:rStyle w:val="simple"/>
                <w:rFonts w:eastAsia="Times New Roman"/>
                <w:sz w:val="18"/>
                <w:szCs w:val="18"/>
              </w:rPr>
              <w:t>     2 events</w:t>
            </w:r>
          </w:p>
        </w:tc>
        <w:tc>
          <w:tcPr>
            <w:tcW w:w="758" w:type="pct"/>
            <w:hideMark/>
          </w:tcPr>
          <w:p w:rsidR="00ED12A8" w:rsidRPr="00F1132F" w:rsidRDefault="00555858">
            <w:pPr>
              <w:rPr>
                <w:rFonts w:eastAsia="Times New Roman"/>
                <w:sz w:val="18"/>
                <w:szCs w:val="18"/>
              </w:rPr>
            </w:pPr>
            <w:r w:rsidRPr="00F1132F">
              <w:rPr>
                <w:rStyle w:val="simple"/>
                <w:rFonts w:eastAsia="Times New Roman"/>
                <w:sz w:val="18"/>
                <w:szCs w:val="18"/>
              </w:rPr>
              <w:t>107 (14.9)</w:t>
            </w:r>
          </w:p>
        </w:tc>
        <w:tc>
          <w:tcPr>
            <w:tcW w:w="847" w:type="pct"/>
            <w:hideMark/>
          </w:tcPr>
          <w:p w:rsidR="00ED12A8" w:rsidRPr="00F1132F" w:rsidRDefault="00555858">
            <w:pPr>
              <w:rPr>
                <w:rFonts w:eastAsia="Times New Roman"/>
                <w:sz w:val="18"/>
                <w:szCs w:val="18"/>
              </w:rPr>
            </w:pPr>
            <w:r w:rsidRPr="00F1132F">
              <w:rPr>
                <w:rStyle w:val="simple"/>
                <w:rFonts w:eastAsia="Times New Roman"/>
                <w:sz w:val="18"/>
                <w:szCs w:val="18"/>
              </w:rPr>
              <w:t>17 (18.9)</w:t>
            </w:r>
          </w:p>
        </w:tc>
        <w:tc>
          <w:tcPr>
            <w:tcW w:w="936" w:type="pct"/>
            <w:hideMark/>
          </w:tcPr>
          <w:p w:rsidR="00ED12A8" w:rsidRPr="00F1132F" w:rsidRDefault="00555858">
            <w:pPr>
              <w:rPr>
                <w:rFonts w:eastAsia="Times New Roman"/>
                <w:sz w:val="18"/>
                <w:szCs w:val="18"/>
              </w:rPr>
            </w:pPr>
            <w:r w:rsidRPr="00F1132F">
              <w:rPr>
                <w:rStyle w:val="simple"/>
                <w:rFonts w:eastAsia="Times New Roman"/>
                <w:sz w:val="18"/>
                <w:szCs w:val="18"/>
              </w:rPr>
              <w:t>90 (14.4)</w:t>
            </w:r>
          </w:p>
        </w:tc>
        <w:tc>
          <w:tcPr>
            <w:tcW w:w="412" w:type="pct"/>
            <w:hideMark/>
          </w:tcPr>
          <w:p w:rsidR="00ED12A8" w:rsidRPr="00F1132F" w:rsidRDefault="00ED12A8">
            <w:pPr>
              <w:rPr>
                <w:rFonts w:eastAsia="Times New Roman"/>
                <w:sz w:val="18"/>
                <w:szCs w:val="18"/>
              </w:rPr>
            </w:pPr>
          </w:p>
        </w:tc>
      </w:tr>
      <w:tr w:rsidR="00110056" w:rsidRPr="00F1132F" w:rsidTr="000A728A">
        <w:trPr>
          <w:tblHeader/>
          <w:jc w:val="center"/>
        </w:trPr>
        <w:tc>
          <w:tcPr>
            <w:tcW w:w="2047" w:type="pct"/>
            <w:hideMark/>
          </w:tcPr>
          <w:p w:rsidR="00ED12A8" w:rsidRPr="00F1132F" w:rsidRDefault="00555858">
            <w:pPr>
              <w:rPr>
                <w:rFonts w:eastAsia="Times New Roman"/>
                <w:sz w:val="18"/>
                <w:szCs w:val="18"/>
              </w:rPr>
            </w:pPr>
            <w:r w:rsidRPr="00F1132F">
              <w:rPr>
                <w:rStyle w:val="simple"/>
                <w:rFonts w:eastAsia="Times New Roman"/>
                <w:sz w:val="18"/>
                <w:szCs w:val="18"/>
              </w:rPr>
              <w:t>     ≥3events</w:t>
            </w:r>
          </w:p>
        </w:tc>
        <w:tc>
          <w:tcPr>
            <w:tcW w:w="758" w:type="pct"/>
            <w:hideMark/>
          </w:tcPr>
          <w:p w:rsidR="00ED12A8" w:rsidRPr="00F1132F" w:rsidRDefault="00555858">
            <w:pPr>
              <w:rPr>
                <w:rFonts w:eastAsia="Times New Roman"/>
                <w:sz w:val="18"/>
                <w:szCs w:val="18"/>
              </w:rPr>
            </w:pPr>
            <w:r w:rsidRPr="00F1132F">
              <w:rPr>
                <w:rStyle w:val="simple"/>
                <w:rFonts w:eastAsia="Times New Roman"/>
                <w:sz w:val="18"/>
                <w:szCs w:val="18"/>
              </w:rPr>
              <w:t>63 (8.8)</w:t>
            </w:r>
          </w:p>
        </w:tc>
        <w:tc>
          <w:tcPr>
            <w:tcW w:w="847" w:type="pct"/>
            <w:hideMark/>
          </w:tcPr>
          <w:p w:rsidR="00ED12A8" w:rsidRPr="00F1132F" w:rsidRDefault="00555858">
            <w:pPr>
              <w:rPr>
                <w:rFonts w:eastAsia="Times New Roman"/>
                <w:sz w:val="18"/>
                <w:szCs w:val="18"/>
              </w:rPr>
            </w:pPr>
            <w:r w:rsidRPr="00F1132F">
              <w:rPr>
                <w:rStyle w:val="simple"/>
                <w:rFonts w:eastAsia="Times New Roman"/>
                <w:sz w:val="18"/>
                <w:szCs w:val="18"/>
              </w:rPr>
              <w:t>24 (26.7)</w:t>
            </w:r>
          </w:p>
        </w:tc>
        <w:tc>
          <w:tcPr>
            <w:tcW w:w="936" w:type="pct"/>
            <w:hideMark/>
          </w:tcPr>
          <w:p w:rsidR="00ED12A8" w:rsidRPr="00F1132F" w:rsidRDefault="00555858">
            <w:pPr>
              <w:rPr>
                <w:rFonts w:eastAsia="Times New Roman"/>
                <w:sz w:val="18"/>
                <w:szCs w:val="18"/>
              </w:rPr>
            </w:pPr>
            <w:r w:rsidRPr="00F1132F">
              <w:rPr>
                <w:rStyle w:val="simple"/>
                <w:rFonts w:eastAsia="Times New Roman"/>
                <w:sz w:val="18"/>
                <w:szCs w:val="18"/>
              </w:rPr>
              <w:t>39 (6.3)</w:t>
            </w:r>
          </w:p>
        </w:tc>
        <w:tc>
          <w:tcPr>
            <w:tcW w:w="412" w:type="pct"/>
            <w:hideMark/>
          </w:tcPr>
          <w:p w:rsidR="00ED12A8" w:rsidRPr="00F1132F" w:rsidRDefault="00ED12A8">
            <w:pPr>
              <w:rPr>
                <w:rFonts w:eastAsia="Times New Roman"/>
                <w:sz w:val="18"/>
                <w:szCs w:val="18"/>
              </w:rPr>
            </w:pPr>
          </w:p>
        </w:tc>
      </w:tr>
      <w:tr w:rsidR="00110056" w:rsidRPr="00F1132F" w:rsidTr="000A728A">
        <w:trPr>
          <w:tblHeader/>
          <w:jc w:val="center"/>
        </w:trPr>
        <w:tc>
          <w:tcPr>
            <w:tcW w:w="2047" w:type="pct"/>
            <w:hideMark/>
          </w:tcPr>
          <w:p w:rsidR="00ED12A8" w:rsidRPr="00F1132F" w:rsidRDefault="00555858">
            <w:pPr>
              <w:rPr>
                <w:rFonts w:eastAsia="Times New Roman"/>
                <w:sz w:val="18"/>
                <w:szCs w:val="18"/>
              </w:rPr>
            </w:pPr>
            <w:r w:rsidRPr="00F1132F">
              <w:rPr>
                <w:rStyle w:val="simple"/>
                <w:rFonts w:eastAsia="Times New Roman"/>
                <w:sz w:val="18"/>
                <w:szCs w:val="18"/>
              </w:rPr>
              <w:t>Poor subjective health 3 months before pregnancy</w:t>
            </w:r>
          </w:p>
        </w:tc>
        <w:tc>
          <w:tcPr>
            <w:tcW w:w="758" w:type="pct"/>
            <w:hideMark/>
          </w:tcPr>
          <w:p w:rsidR="00ED12A8" w:rsidRPr="00F1132F" w:rsidRDefault="00555858">
            <w:pPr>
              <w:rPr>
                <w:rFonts w:eastAsia="Times New Roman"/>
                <w:sz w:val="18"/>
                <w:szCs w:val="18"/>
              </w:rPr>
            </w:pPr>
            <w:r w:rsidRPr="00F1132F">
              <w:rPr>
                <w:rStyle w:val="simple"/>
                <w:rFonts w:eastAsia="Times New Roman"/>
                <w:sz w:val="18"/>
                <w:szCs w:val="18"/>
              </w:rPr>
              <w:t>77 (10.4)</w:t>
            </w:r>
          </w:p>
        </w:tc>
        <w:tc>
          <w:tcPr>
            <w:tcW w:w="847" w:type="pct"/>
            <w:hideMark/>
          </w:tcPr>
          <w:p w:rsidR="00ED12A8" w:rsidRPr="00F1132F" w:rsidRDefault="00555858">
            <w:pPr>
              <w:rPr>
                <w:rFonts w:eastAsia="Times New Roman"/>
                <w:sz w:val="18"/>
                <w:szCs w:val="18"/>
              </w:rPr>
            </w:pPr>
            <w:r w:rsidRPr="00F1132F">
              <w:rPr>
                <w:rStyle w:val="simple"/>
                <w:rFonts w:eastAsia="Times New Roman"/>
                <w:sz w:val="18"/>
                <w:szCs w:val="18"/>
              </w:rPr>
              <w:t>22 (23.4)</w:t>
            </w:r>
          </w:p>
        </w:tc>
        <w:tc>
          <w:tcPr>
            <w:tcW w:w="936" w:type="pct"/>
            <w:hideMark/>
          </w:tcPr>
          <w:p w:rsidR="00ED12A8" w:rsidRPr="00F1132F" w:rsidRDefault="00555858">
            <w:pPr>
              <w:rPr>
                <w:rFonts w:eastAsia="Times New Roman"/>
                <w:sz w:val="18"/>
                <w:szCs w:val="18"/>
              </w:rPr>
            </w:pPr>
            <w:r w:rsidRPr="00F1132F">
              <w:rPr>
                <w:rStyle w:val="simple"/>
                <w:rFonts w:eastAsia="Times New Roman"/>
                <w:sz w:val="18"/>
                <w:szCs w:val="18"/>
              </w:rPr>
              <w:t>55 (8.5)</w:t>
            </w:r>
          </w:p>
        </w:tc>
        <w:tc>
          <w:tcPr>
            <w:tcW w:w="412" w:type="pct"/>
            <w:hideMark/>
          </w:tcPr>
          <w:p w:rsidR="00ED12A8" w:rsidRPr="00F1132F" w:rsidRDefault="00555858">
            <w:pPr>
              <w:rPr>
                <w:rFonts w:eastAsia="Times New Roman"/>
                <w:sz w:val="18"/>
                <w:szCs w:val="18"/>
              </w:rPr>
            </w:pPr>
            <w:r w:rsidRPr="00F1132F">
              <w:rPr>
                <w:rStyle w:val="simple"/>
                <w:rFonts w:eastAsia="Times New Roman"/>
                <w:sz w:val="18"/>
                <w:szCs w:val="18"/>
              </w:rPr>
              <w:t>&lt;0.001</w:t>
            </w:r>
          </w:p>
        </w:tc>
      </w:tr>
      <w:tr w:rsidR="00110056" w:rsidRPr="00F1132F" w:rsidTr="000A728A">
        <w:trPr>
          <w:tblHeader/>
          <w:jc w:val="center"/>
        </w:trPr>
        <w:tc>
          <w:tcPr>
            <w:tcW w:w="2047" w:type="pct"/>
            <w:hideMark/>
          </w:tcPr>
          <w:p w:rsidR="00ED12A8" w:rsidRPr="00F1132F" w:rsidRDefault="00555858">
            <w:pPr>
              <w:rPr>
                <w:rFonts w:eastAsia="Times New Roman"/>
                <w:sz w:val="18"/>
                <w:szCs w:val="18"/>
              </w:rPr>
            </w:pPr>
            <w:r w:rsidRPr="00F1132F">
              <w:rPr>
                <w:rStyle w:val="simple"/>
                <w:rFonts w:eastAsia="Times New Roman"/>
                <w:sz w:val="18"/>
                <w:szCs w:val="18"/>
              </w:rPr>
              <w:t>History of depression</w:t>
            </w:r>
            <w:r w:rsidRPr="00F1132F">
              <w:rPr>
                <w:rStyle w:val="simple"/>
                <w:rFonts w:eastAsia="Times New Roman"/>
                <w:sz w:val="18"/>
                <w:szCs w:val="18"/>
                <w:vertAlign w:val="superscript"/>
              </w:rPr>
              <w:t>3</w:t>
            </w:r>
          </w:p>
        </w:tc>
        <w:tc>
          <w:tcPr>
            <w:tcW w:w="758" w:type="pct"/>
            <w:hideMark/>
          </w:tcPr>
          <w:p w:rsidR="00ED12A8" w:rsidRPr="00F1132F" w:rsidRDefault="00555858">
            <w:pPr>
              <w:rPr>
                <w:rFonts w:eastAsia="Times New Roman"/>
                <w:sz w:val="18"/>
                <w:szCs w:val="18"/>
              </w:rPr>
            </w:pPr>
            <w:r w:rsidRPr="00F1132F">
              <w:rPr>
                <w:rStyle w:val="simple"/>
                <w:rFonts w:eastAsia="Times New Roman"/>
                <w:sz w:val="18"/>
                <w:szCs w:val="18"/>
              </w:rPr>
              <w:t>114 (18.2)</w:t>
            </w:r>
          </w:p>
        </w:tc>
        <w:tc>
          <w:tcPr>
            <w:tcW w:w="847" w:type="pct"/>
            <w:hideMark/>
          </w:tcPr>
          <w:p w:rsidR="00ED12A8" w:rsidRPr="00F1132F" w:rsidRDefault="00555858">
            <w:pPr>
              <w:rPr>
                <w:rFonts w:eastAsia="Times New Roman"/>
                <w:sz w:val="18"/>
                <w:szCs w:val="18"/>
              </w:rPr>
            </w:pPr>
            <w:r w:rsidRPr="00F1132F">
              <w:rPr>
                <w:rStyle w:val="simple"/>
                <w:rFonts w:eastAsia="Times New Roman"/>
                <w:sz w:val="18"/>
                <w:szCs w:val="18"/>
              </w:rPr>
              <w:t>29 (36.3)</w:t>
            </w:r>
          </w:p>
        </w:tc>
        <w:tc>
          <w:tcPr>
            <w:tcW w:w="936" w:type="pct"/>
            <w:hideMark/>
          </w:tcPr>
          <w:p w:rsidR="00ED12A8" w:rsidRPr="00F1132F" w:rsidRDefault="00555858">
            <w:pPr>
              <w:rPr>
                <w:rFonts w:eastAsia="Times New Roman"/>
                <w:sz w:val="18"/>
                <w:szCs w:val="18"/>
              </w:rPr>
            </w:pPr>
            <w:r w:rsidRPr="00F1132F">
              <w:rPr>
                <w:rStyle w:val="simple"/>
                <w:rFonts w:eastAsia="Times New Roman"/>
                <w:sz w:val="18"/>
                <w:szCs w:val="18"/>
              </w:rPr>
              <w:t>85 (15.6)</w:t>
            </w:r>
          </w:p>
        </w:tc>
        <w:tc>
          <w:tcPr>
            <w:tcW w:w="412" w:type="pct"/>
            <w:hideMark/>
          </w:tcPr>
          <w:p w:rsidR="00ED12A8" w:rsidRPr="00F1132F" w:rsidRDefault="00555858">
            <w:pPr>
              <w:rPr>
                <w:rFonts w:eastAsia="Times New Roman"/>
                <w:sz w:val="18"/>
                <w:szCs w:val="18"/>
              </w:rPr>
            </w:pPr>
            <w:r w:rsidRPr="00F1132F">
              <w:rPr>
                <w:rStyle w:val="simple"/>
                <w:rFonts w:eastAsia="Times New Roman"/>
                <w:sz w:val="18"/>
                <w:szCs w:val="18"/>
              </w:rPr>
              <w:t>&lt;0.001</w:t>
            </w:r>
          </w:p>
        </w:tc>
      </w:tr>
    </w:tbl>
    <w:p w:rsidR="00ED12A8" w:rsidRPr="00F1132F" w:rsidRDefault="00555858" w:rsidP="00A351D8">
      <w:pPr>
        <w:ind w:left="-540"/>
        <w:jc w:val="both"/>
        <w:rPr>
          <w:rFonts w:eastAsia="Times New Roman"/>
          <w:sz w:val="18"/>
          <w:szCs w:val="18"/>
        </w:rPr>
      </w:pPr>
      <w:proofErr w:type="gramStart"/>
      <w:r w:rsidRPr="00806E03">
        <w:rPr>
          <w:rFonts w:eastAsia="Times New Roman"/>
          <w:color w:val="FF0000"/>
          <w:sz w:val="18"/>
          <w:szCs w:val="18"/>
          <w:vertAlign w:val="superscript"/>
        </w:rPr>
        <w:t>1</w:t>
      </w:r>
      <w:r w:rsidRPr="00F1132F">
        <w:rPr>
          <w:rFonts w:eastAsia="Times New Roman"/>
          <w:sz w:val="18"/>
          <w:szCs w:val="18"/>
        </w:rPr>
        <w:t xml:space="preserve"> Living without a partner.</w:t>
      </w:r>
      <w:proofErr w:type="gramEnd"/>
    </w:p>
    <w:p w:rsidR="00ED12A8" w:rsidRPr="00F1132F" w:rsidRDefault="00555858" w:rsidP="00A351D8">
      <w:pPr>
        <w:ind w:left="-540"/>
        <w:jc w:val="both"/>
        <w:rPr>
          <w:rFonts w:eastAsia="Times New Roman"/>
          <w:sz w:val="18"/>
          <w:szCs w:val="18"/>
        </w:rPr>
      </w:pPr>
      <w:proofErr w:type="gramStart"/>
      <w:r w:rsidRPr="00F1132F">
        <w:rPr>
          <w:rFonts w:eastAsia="Times New Roman"/>
          <w:sz w:val="18"/>
          <w:szCs w:val="18"/>
          <w:vertAlign w:val="superscript"/>
        </w:rPr>
        <w:t>2</w:t>
      </w:r>
      <w:r w:rsidRPr="00F1132F">
        <w:rPr>
          <w:rFonts w:eastAsia="Times New Roman"/>
          <w:sz w:val="18"/>
          <w:szCs w:val="18"/>
        </w:rPr>
        <w:t>From six months before pregnancy to gestational week 28.</w:t>
      </w:r>
      <w:proofErr w:type="gramEnd"/>
    </w:p>
    <w:p w:rsidR="00ED12A8" w:rsidRPr="00F1132F" w:rsidRDefault="00555858" w:rsidP="00A351D8">
      <w:pPr>
        <w:ind w:left="-540"/>
        <w:jc w:val="both"/>
        <w:rPr>
          <w:rFonts w:eastAsia="Times New Roman"/>
          <w:sz w:val="18"/>
          <w:szCs w:val="18"/>
        </w:rPr>
      </w:pPr>
      <w:r w:rsidRPr="00F1132F">
        <w:rPr>
          <w:rFonts w:eastAsia="Times New Roman"/>
          <w:sz w:val="18"/>
          <w:szCs w:val="18"/>
          <w:vertAlign w:val="superscript"/>
        </w:rPr>
        <w:t>3</w:t>
      </w:r>
      <w:r w:rsidRPr="00F1132F">
        <w:rPr>
          <w:rFonts w:eastAsia="Times New Roman"/>
          <w:sz w:val="18"/>
          <w:szCs w:val="18"/>
        </w:rPr>
        <w:t>Data collected postpartum.</w:t>
      </w:r>
    </w:p>
    <w:p w:rsidR="00ED12A8" w:rsidRPr="00F1132F" w:rsidRDefault="00555858" w:rsidP="00A351D8">
      <w:pPr>
        <w:ind w:left="-540"/>
        <w:jc w:val="both"/>
        <w:rPr>
          <w:rFonts w:eastAsia="Times New Roman"/>
          <w:sz w:val="18"/>
          <w:szCs w:val="18"/>
        </w:rPr>
      </w:pPr>
      <w:proofErr w:type="gramStart"/>
      <w:r w:rsidRPr="00F1132F">
        <w:rPr>
          <w:rFonts w:eastAsia="Times New Roman"/>
          <w:sz w:val="18"/>
          <w:szCs w:val="18"/>
          <w:vertAlign w:val="superscript"/>
        </w:rPr>
        <w:t>4</w:t>
      </w:r>
      <w:r w:rsidRPr="00F1132F">
        <w:rPr>
          <w:rFonts w:eastAsia="Times New Roman"/>
          <w:sz w:val="18"/>
          <w:szCs w:val="18"/>
        </w:rPr>
        <w:t>Chi-square tests (%) for categorical variables or t-test (SD) for age (yrs).</w:t>
      </w:r>
      <w:proofErr w:type="gramEnd"/>
    </w:p>
    <w:p w:rsidR="00ED12A8" w:rsidRPr="00F1132F" w:rsidRDefault="00555858" w:rsidP="00A351D8">
      <w:pPr>
        <w:ind w:left="-540"/>
        <w:jc w:val="both"/>
        <w:rPr>
          <w:rFonts w:eastAsia="Times New Roman"/>
          <w:sz w:val="18"/>
          <w:szCs w:val="18"/>
        </w:rPr>
      </w:pPr>
      <w:r w:rsidRPr="00F1132F">
        <w:rPr>
          <w:rFonts w:eastAsia="Times New Roman"/>
          <w:sz w:val="18"/>
          <w:szCs w:val="18"/>
        </w:rPr>
        <w:t>Values are in n (%) if not stated otherwise.</w:t>
      </w:r>
    </w:p>
    <w:p w:rsidR="00463CA7" w:rsidRDefault="00463CA7">
      <w:r>
        <w:br w:type="page"/>
      </w:r>
    </w:p>
    <w:p w:rsidR="00ED12A8" w:rsidRDefault="00555858">
      <w:pPr>
        <w:pStyle w:val="NormalWeb"/>
        <w:jc w:val="both"/>
      </w:pPr>
      <w:r>
        <w:lastRenderedPageBreak/>
        <w:t>In the logistic regression analyses using EPDS ≥10 as the dependent variable (Models 1 and 2), women from the Middle East and South Asia had significantly higher ORs than Western European women (Table 3). Ethnic minority origin from the Middle East (OR 2.81; 95% CI: (1.29-6.15)) and South Asia (2.72; 95% CI: (1.35-5.48)) remained independent risk factors for depression when adjusted for single parenthood, gestational week of inclusion, adverse life events, poor subjective health and history of depression (Model 1, R</w:t>
      </w:r>
      <w:r>
        <w:rPr>
          <w:vertAlign w:val="superscript"/>
        </w:rPr>
        <w:t>2</w:t>
      </w:r>
      <w:r>
        <w:t xml:space="preserve"> 19.7%).</w:t>
      </w:r>
    </w:p>
    <w:p w:rsidR="00753086" w:rsidRDefault="00753086">
      <w:pPr>
        <w:pStyle w:val="float"/>
        <w:spacing w:after="0" w:afterAutospacing="0"/>
        <w:rPr>
          <w:rStyle w:val="Caption1"/>
          <w:b/>
          <w:bCs/>
        </w:rPr>
        <w:sectPr w:rsidR="00753086" w:rsidSect="008A1CD0">
          <w:pgSz w:w="11909" w:h="16834"/>
          <w:pgMar w:top="1440" w:right="1440" w:bottom="1440" w:left="1440" w:header="720" w:footer="720" w:gutter="0"/>
          <w:cols w:space="720"/>
          <w:docGrid w:linePitch="360"/>
        </w:sectPr>
      </w:pPr>
    </w:p>
    <w:p w:rsidR="00ED12A8" w:rsidRPr="0045227B" w:rsidRDefault="00555858">
      <w:pPr>
        <w:pStyle w:val="float"/>
        <w:spacing w:after="0" w:afterAutospacing="0"/>
        <w:rPr>
          <w:sz w:val="20"/>
          <w:szCs w:val="20"/>
        </w:rPr>
      </w:pPr>
      <w:r w:rsidRPr="0045227B">
        <w:rPr>
          <w:rStyle w:val="Caption1"/>
          <w:b/>
          <w:bCs/>
          <w:sz w:val="20"/>
          <w:szCs w:val="20"/>
        </w:rPr>
        <w:lastRenderedPageBreak/>
        <w:t>Table 3</w:t>
      </w:r>
      <w:r w:rsidRPr="0045227B">
        <w:rPr>
          <w:rStyle w:val="Caption1"/>
          <w:sz w:val="20"/>
          <w:szCs w:val="20"/>
        </w:rPr>
        <w:t xml:space="preserve"> </w:t>
      </w:r>
      <w:r w:rsidRPr="0045227B">
        <w:rPr>
          <w:rStyle w:val="bold"/>
          <w:sz w:val="20"/>
          <w:szCs w:val="20"/>
        </w:rPr>
        <w:t>Odds Ratio (OR) for depression in pregnancy in univariate and multiple logistic regression analyses</w:t>
      </w:r>
    </w:p>
    <w:tbl>
      <w:tblPr>
        <w:tblW w:w="5000" w:type="pct"/>
        <w:jc w:val="center"/>
        <w:tblBorders>
          <w:top w:val="single" w:sz="12" w:space="0" w:color="000000"/>
          <w:bottom w:val="single" w:sz="12" w:space="0" w:color="000000"/>
        </w:tblBorders>
        <w:tblLayout w:type="fixed"/>
        <w:tblCellMar>
          <w:top w:w="15" w:type="dxa"/>
          <w:left w:w="15" w:type="dxa"/>
          <w:bottom w:w="15" w:type="dxa"/>
          <w:right w:w="15" w:type="dxa"/>
        </w:tblCellMar>
        <w:tblLook w:val="04A0" w:firstRow="1" w:lastRow="0" w:firstColumn="1" w:lastColumn="0" w:noHBand="0" w:noVBand="1"/>
      </w:tblPr>
      <w:tblGrid>
        <w:gridCol w:w="3377"/>
        <w:gridCol w:w="688"/>
        <w:gridCol w:w="1029"/>
        <w:gridCol w:w="761"/>
        <w:gridCol w:w="657"/>
        <w:gridCol w:w="1228"/>
        <w:gridCol w:w="909"/>
        <w:gridCol w:w="525"/>
        <w:gridCol w:w="1229"/>
        <w:gridCol w:w="913"/>
        <w:gridCol w:w="554"/>
        <w:gridCol w:w="1152"/>
        <w:gridCol w:w="962"/>
      </w:tblGrid>
      <w:tr w:rsidR="00ED12A8" w:rsidRPr="0045227B" w:rsidTr="0045227B">
        <w:trPr>
          <w:tblHeader/>
          <w:jc w:val="center"/>
        </w:trPr>
        <w:tc>
          <w:tcPr>
            <w:tcW w:w="3377" w:type="dxa"/>
            <w:vMerge w:val="restart"/>
            <w:hideMark/>
          </w:tcPr>
          <w:p w:rsidR="00ED12A8" w:rsidRPr="0045227B" w:rsidRDefault="00ED12A8">
            <w:pPr>
              <w:rPr>
                <w:rFonts w:eastAsia="Times New Roman"/>
                <w:sz w:val="18"/>
                <w:szCs w:val="18"/>
              </w:rPr>
            </w:pPr>
          </w:p>
        </w:tc>
        <w:tc>
          <w:tcPr>
            <w:tcW w:w="2478" w:type="dxa"/>
            <w:gridSpan w:val="3"/>
            <w:tcBorders>
              <w:bottom w:val="single" w:sz="6" w:space="0" w:color="000000"/>
            </w:tcBorders>
            <w:hideMark/>
          </w:tcPr>
          <w:p w:rsidR="00ED12A8" w:rsidRPr="0045227B" w:rsidRDefault="00555858">
            <w:pPr>
              <w:rPr>
                <w:rFonts w:eastAsia="Times New Roman"/>
                <w:sz w:val="18"/>
                <w:szCs w:val="18"/>
              </w:rPr>
            </w:pPr>
            <w:r w:rsidRPr="0045227B">
              <w:rPr>
                <w:rStyle w:val="bold"/>
                <w:rFonts w:eastAsia="Times New Roman"/>
                <w:sz w:val="18"/>
                <w:szCs w:val="18"/>
              </w:rPr>
              <w:t>Unadjusted OR</w:t>
            </w:r>
          </w:p>
        </w:tc>
        <w:tc>
          <w:tcPr>
            <w:tcW w:w="2794" w:type="dxa"/>
            <w:gridSpan w:val="3"/>
            <w:tcBorders>
              <w:bottom w:val="single" w:sz="6" w:space="0" w:color="000000"/>
            </w:tcBorders>
            <w:hideMark/>
          </w:tcPr>
          <w:p w:rsidR="00ED12A8" w:rsidRPr="0045227B" w:rsidRDefault="00555858">
            <w:pPr>
              <w:rPr>
                <w:rFonts w:eastAsia="Times New Roman"/>
                <w:sz w:val="18"/>
                <w:szCs w:val="18"/>
              </w:rPr>
            </w:pPr>
            <w:r w:rsidRPr="00806E03">
              <w:rPr>
                <w:rStyle w:val="bold"/>
                <w:rFonts w:eastAsia="Times New Roman"/>
                <w:color w:val="FF0000"/>
                <w:sz w:val="18"/>
                <w:szCs w:val="18"/>
              </w:rPr>
              <w:t>*</w:t>
            </w:r>
            <w:r w:rsidRPr="0045227B">
              <w:rPr>
                <w:rStyle w:val="bold"/>
                <w:rFonts w:eastAsia="Times New Roman"/>
                <w:sz w:val="18"/>
                <w:szCs w:val="18"/>
              </w:rPr>
              <w:t>Model 1 (R</w:t>
            </w:r>
            <w:r w:rsidRPr="0045227B">
              <w:rPr>
                <w:rStyle w:val="bold"/>
                <w:rFonts w:eastAsia="Times New Roman"/>
                <w:sz w:val="18"/>
                <w:szCs w:val="18"/>
                <w:vertAlign w:val="superscript"/>
              </w:rPr>
              <w:t>2</w:t>
            </w:r>
            <w:r w:rsidRPr="0045227B">
              <w:rPr>
                <w:rStyle w:val="simple"/>
                <w:rFonts w:eastAsia="Times New Roman"/>
                <w:sz w:val="18"/>
                <w:szCs w:val="18"/>
              </w:rPr>
              <w:t xml:space="preserve"> </w:t>
            </w:r>
            <w:r w:rsidRPr="0045227B">
              <w:rPr>
                <w:rStyle w:val="bold"/>
                <w:rFonts w:eastAsia="Times New Roman"/>
                <w:sz w:val="18"/>
                <w:szCs w:val="18"/>
              </w:rPr>
              <w:t>= 19.7%)</w:t>
            </w:r>
          </w:p>
        </w:tc>
        <w:tc>
          <w:tcPr>
            <w:tcW w:w="2667" w:type="dxa"/>
            <w:gridSpan w:val="3"/>
            <w:tcBorders>
              <w:bottom w:val="single" w:sz="6" w:space="0" w:color="000000"/>
            </w:tcBorders>
            <w:hideMark/>
          </w:tcPr>
          <w:p w:rsidR="00ED12A8" w:rsidRPr="0045227B" w:rsidRDefault="00555858">
            <w:pPr>
              <w:rPr>
                <w:rFonts w:eastAsia="Times New Roman"/>
                <w:sz w:val="18"/>
                <w:szCs w:val="18"/>
              </w:rPr>
            </w:pPr>
            <w:r w:rsidRPr="00806E03">
              <w:rPr>
                <w:rStyle w:val="bold"/>
                <w:rFonts w:eastAsia="Times New Roman"/>
                <w:color w:val="FF0000"/>
                <w:sz w:val="18"/>
                <w:szCs w:val="18"/>
              </w:rPr>
              <w:t>*</w:t>
            </w:r>
            <w:r w:rsidRPr="0045227B">
              <w:rPr>
                <w:rStyle w:val="bold"/>
                <w:rFonts w:eastAsia="Times New Roman"/>
                <w:sz w:val="18"/>
                <w:szCs w:val="18"/>
              </w:rPr>
              <w:t>Model 2 (R</w:t>
            </w:r>
            <w:r w:rsidRPr="0045227B">
              <w:rPr>
                <w:rStyle w:val="bold"/>
                <w:rFonts w:eastAsia="Times New Roman"/>
                <w:sz w:val="18"/>
                <w:szCs w:val="18"/>
                <w:vertAlign w:val="superscript"/>
              </w:rPr>
              <w:t>2</w:t>
            </w:r>
            <w:r w:rsidRPr="0045227B">
              <w:rPr>
                <w:rStyle w:val="simple"/>
                <w:rFonts w:eastAsia="Times New Roman"/>
                <w:sz w:val="18"/>
                <w:szCs w:val="18"/>
              </w:rPr>
              <w:t xml:space="preserve"> </w:t>
            </w:r>
            <w:r w:rsidRPr="0045227B">
              <w:rPr>
                <w:rStyle w:val="bold"/>
                <w:rFonts w:eastAsia="Times New Roman"/>
                <w:sz w:val="18"/>
                <w:szCs w:val="18"/>
              </w:rPr>
              <w:t>= 20.7%)</w:t>
            </w:r>
          </w:p>
        </w:tc>
        <w:tc>
          <w:tcPr>
            <w:tcW w:w="2668" w:type="dxa"/>
            <w:gridSpan w:val="3"/>
            <w:tcBorders>
              <w:bottom w:val="single" w:sz="6" w:space="0" w:color="000000"/>
            </w:tcBorders>
            <w:hideMark/>
          </w:tcPr>
          <w:p w:rsidR="00ED12A8" w:rsidRPr="0045227B" w:rsidRDefault="00555858">
            <w:pPr>
              <w:rPr>
                <w:rFonts w:eastAsia="Times New Roman"/>
                <w:sz w:val="18"/>
                <w:szCs w:val="18"/>
              </w:rPr>
            </w:pPr>
            <w:r w:rsidRPr="00806E03">
              <w:rPr>
                <w:rStyle w:val="bold"/>
                <w:rFonts w:eastAsia="Times New Roman"/>
                <w:color w:val="FF0000"/>
                <w:sz w:val="18"/>
                <w:szCs w:val="18"/>
              </w:rPr>
              <w:t>*</w:t>
            </w:r>
            <w:r w:rsidRPr="0045227B">
              <w:rPr>
                <w:rStyle w:val="bold"/>
                <w:rFonts w:eastAsia="Times New Roman"/>
                <w:sz w:val="18"/>
                <w:szCs w:val="18"/>
              </w:rPr>
              <w:t>Model 3 (R</w:t>
            </w:r>
            <w:r w:rsidRPr="0045227B">
              <w:rPr>
                <w:rStyle w:val="bold"/>
                <w:rFonts w:eastAsia="Times New Roman"/>
                <w:sz w:val="18"/>
                <w:szCs w:val="18"/>
                <w:vertAlign w:val="superscript"/>
              </w:rPr>
              <w:t>2</w:t>
            </w:r>
            <w:r w:rsidRPr="0045227B">
              <w:rPr>
                <w:rStyle w:val="simple"/>
                <w:rFonts w:eastAsia="Times New Roman"/>
                <w:sz w:val="18"/>
                <w:szCs w:val="18"/>
              </w:rPr>
              <w:t xml:space="preserve"> </w:t>
            </w:r>
            <w:r w:rsidRPr="0045227B">
              <w:rPr>
                <w:rStyle w:val="bold"/>
                <w:rFonts w:eastAsia="Times New Roman"/>
                <w:sz w:val="18"/>
                <w:szCs w:val="18"/>
              </w:rPr>
              <w:t>= 18.9%)</w:t>
            </w:r>
          </w:p>
        </w:tc>
      </w:tr>
      <w:tr w:rsidR="0045227B" w:rsidRPr="0045227B" w:rsidTr="0045227B">
        <w:trPr>
          <w:tblHeader/>
          <w:jc w:val="center"/>
        </w:trPr>
        <w:tc>
          <w:tcPr>
            <w:tcW w:w="3377" w:type="dxa"/>
            <w:vMerge/>
            <w:vAlign w:val="center"/>
            <w:hideMark/>
          </w:tcPr>
          <w:p w:rsidR="00ED12A8" w:rsidRPr="0045227B" w:rsidRDefault="00ED12A8">
            <w:pPr>
              <w:rPr>
                <w:rFonts w:eastAsia="Times New Roman"/>
                <w:sz w:val="18"/>
                <w:szCs w:val="18"/>
              </w:rPr>
            </w:pPr>
          </w:p>
        </w:tc>
        <w:tc>
          <w:tcPr>
            <w:tcW w:w="688" w:type="dxa"/>
            <w:hideMark/>
          </w:tcPr>
          <w:p w:rsidR="00ED12A8" w:rsidRPr="0045227B" w:rsidRDefault="00555858">
            <w:pPr>
              <w:rPr>
                <w:rFonts w:eastAsia="Times New Roman"/>
                <w:sz w:val="18"/>
                <w:szCs w:val="18"/>
              </w:rPr>
            </w:pPr>
            <w:r w:rsidRPr="0045227B">
              <w:rPr>
                <w:rStyle w:val="bold"/>
                <w:rFonts w:eastAsia="Times New Roman"/>
                <w:sz w:val="18"/>
                <w:szCs w:val="18"/>
              </w:rPr>
              <w:t>OR</w:t>
            </w:r>
          </w:p>
        </w:tc>
        <w:tc>
          <w:tcPr>
            <w:tcW w:w="1029" w:type="dxa"/>
            <w:hideMark/>
          </w:tcPr>
          <w:p w:rsidR="00ED12A8" w:rsidRPr="0045227B" w:rsidRDefault="00555858">
            <w:pPr>
              <w:rPr>
                <w:rFonts w:eastAsia="Times New Roman"/>
                <w:sz w:val="18"/>
                <w:szCs w:val="18"/>
              </w:rPr>
            </w:pPr>
            <w:r w:rsidRPr="0045227B">
              <w:rPr>
                <w:rStyle w:val="bold"/>
                <w:rFonts w:eastAsia="Times New Roman"/>
                <w:sz w:val="18"/>
                <w:szCs w:val="18"/>
              </w:rPr>
              <w:t>95%CI</w:t>
            </w:r>
          </w:p>
        </w:tc>
        <w:tc>
          <w:tcPr>
            <w:tcW w:w="761" w:type="dxa"/>
            <w:hideMark/>
          </w:tcPr>
          <w:p w:rsidR="00ED12A8" w:rsidRPr="0045227B" w:rsidRDefault="00555858">
            <w:pPr>
              <w:rPr>
                <w:rFonts w:eastAsia="Times New Roman"/>
                <w:sz w:val="18"/>
                <w:szCs w:val="18"/>
              </w:rPr>
            </w:pPr>
            <w:r w:rsidRPr="0045227B">
              <w:rPr>
                <w:rStyle w:val="bold"/>
                <w:rFonts w:eastAsia="Times New Roman"/>
                <w:sz w:val="18"/>
                <w:szCs w:val="18"/>
              </w:rPr>
              <w:t>p-value</w:t>
            </w:r>
          </w:p>
        </w:tc>
        <w:tc>
          <w:tcPr>
            <w:tcW w:w="657" w:type="dxa"/>
            <w:hideMark/>
          </w:tcPr>
          <w:p w:rsidR="00ED12A8" w:rsidRPr="0045227B" w:rsidRDefault="00555858">
            <w:pPr>
              <w:rPr>
                <w:rFonts w:eastAsia="Times New Roman"/>
                <w:sz w:val="18"/>
                <w:szCs w:val="18"/>
              </w:rPr>
            </w:pPr>
            <w:r w:rsidRPr="0045227B">
              <w:rPr>
                <w:rStyle w:val="bold"/>
                <w:rFonts w:eastAsia="Times New Roman"/>
                <w:sz w:val="18"/>
                <w:szCs w:val="18"/>
              </w:rPr>
              <w:t>OR</w:t>
            </w:r>
          </w:p>
        </w:tc>
        <w:tc>
          <w:tcPr>
            <w:tcW w:w="1228" w:type="dxa"/>
            <w:hideMark/>
          </w:tcPr>
          <w:p w:rsidR="00ED12A8" w:rsidRPr="0045227B" w:rsidRDefault="00555858">
            <w:pPr>
              <w:rPr>
                <w:rFonts w:eastAsia="Times New Roman"/>
                <w:sz w:val="18"/>
                <w:szCs w:val="18"/>
              </w:rPr>
            </w:pPr>
            <w:r w:rsidRPr="0045227B">
              <w:rPr>
                <w:rStyle w:val="bold"/>
                <w:rFonts w:eastAsia="Times New Roman"/>
                <w:sz w:val="18"/>
                <w:szCs w:val="18"/>
              </w:rPr>
              <w:t>95% CI</w:t>
            </w:r>
          </w:p>
        </w:tc>
        <w:tc>
          <w:tcPr>
            <w:tcW w:w="909" w:type="dxa"/>
            <w:hideMark/>
          </w:tcPr>
          <w:p w:rsidR="00ED12A8" w:rsidRPr="0045227B" w:rsidRDefault="00555858">
            <w:pPr>
              <w:rPr>
                <w:rFonts w:eastAsia="Times New Roman"/>
                <w:sz w:val="18"/>
                <w:szCs w:val="18"/>
              </w:rPr>
            </w:pPr>
            <w:r w:rsidRPr="0045227B">
              <w:rPr>
                <w:rStyle w:val="bold"/>
                <w:rFonts w:eastAsia="Times New Roman"/>
                <w:sz w:val="18"/>
                <w:szCs w:val="18"/>
              </w:rPr>
              <w:t>p-value</w:t>
            </w:r>
          </w:p>
        </w:tc>
        <w:tc>
          <w:tcPr>
            <w:tcW w:w="525" w:type="dxa"/>
            <w:hideMark/>
          </w:tcPr>
          <w:p w:rsidR="00ED12A8" w:rsidRPr="0045227B" w:rsidRDefault="00555858">
            <w:pPr>
              <w:rPr>
                <w:rFonts w:eastAsia="Times New Roman"/>
                <w:sz w:val="18"/>
                <w:szCs w:val="18"/>
              </w:rPr>
            </w:pPr>
            <w:r w:rsidRPr="0045227B">
              <w:rPr>
                <w:rStyle w:val="bold"/>
                <w:rFonts w:eastAsia="Times New Roman"/>
                <w:sz w:val="18"/>
                <w:szCs w:val="18"/>
              </w:rPr>
              <w:t>OR</w:t>
            </w:r>
          </w:p>
        </w:tc>
        <w:tc>
          <w:tcPr>
            <w:tcW w:w="1229" w:type="dxa"/>
            <w:hideMark/>
          </w:tcPr>
          <w:p w:rsidR="00ED12A8" w:rsidRPr="0045227B" w:rsidRDefault="00555858">
            <w:pPr>
              <w:rPr>
                <w:rFonts w:eastAsia="Times New Roman"/>
                <w:sz w:val="18"/>
                <w:szCs w:val="18"/>
              </w:rPr>
            </w:pPr>
            <w:r w:rsidRPr="0045227B">
              <w:rPr>
                <w:rStyle w:val="bold"/>
                <w:rFonts w:eastAsia="Times New Roman"/>
                <w:sz w:val="18"/>
                <w:szCs w:val="18"/>
              </w:rPr>
              <w:t>95% CI</w:t>
            </w:r>
          </w:p>
        </w:tc>
        <w:tc>
          <w:tcPr>
            <w:tcW w:w="913" w:type="dxa"/>
            <w:hideMark/>
          </w:tcPr>
          <w:p w:rsidR="00ED12A8" w:rsidRPr="0045227B" w:rsidRDefault="00555858">
            <w:pPr>
              <w:rPr>
                <w:rFonts w:eastAsia="Times New Roman"/>
                <w:sz w:val="18"/>
                <w:szCs w:val="18"/>
              </w:rPr>
            </w:pPr>
            <w:r w:rsidRPr="0045227B">
              <w:rPr>
                <w:rStyle w:val="bold"/>
                <w:rFonts w:eastAsia="Times New Roman"/>
                <w:sz w:val="18"/>
                <w:szCs w:val="18"/>
              </w:rPr>
              <w:t>p-value</w:t>
            </w:r>
          </w:p>
        </w:tc>
        <w:tc>
          <w:tcPr>
            <w:tcW w:w="554" w:type="dxa"/>
            <w:hideMark/>
          </w:tcPr>
          <w:p w:rsidR="00ED12A8" w:rsidRPr="0045227B" w:rsidRDefault="00555858">
            <w:pPr>
              <w:rPr>
                <w:rFonts w:eastAsia="Times New Roman"/>
                <w:sz w:val="18"/>
                <w:szCs w:val="18"/>
              </w:rPr>
            </w:pPr>
            <w:r w:rsidRPr="0045227B">
              <w:rPr>
                <w:rStyle w:val="bold"/>
                <w:rFonts w:eastAsia="Times New Roman"/>
                <w:sz w:val="18"/>
                <w:szCs w:val="18"/>
              </w:rPr>
              <w:t>OR</w:t>
            </w:r>
          </w:p>
        </w:tc>
        <w:tc>
          <w:tcPr>
            <w:tcW w:w="1152" w:type="dxa"/>
            <w:hideMark/>
          </w:tcPr>
          <w:p w:rsidR="00ED12A8" w:rsidRPr="0045227B" w:rsidRDefault="00555858">
            <w:pPr>
              <w:rPr>
                <w:rFonts w:eastAsia="Times New Roman"/>
                <w:sz w:val="18"/>
                <w:szCs w:val="18"/>
              </w:rPr>
            </w:pPr>
            <w:r w:rsidRPr="0045227B">
              <w:rPr>
                <w:rStyle w:val="bold"/>
                <w:rFonts w:eastAsia="Times New Roman"/>
                <w:sz w:val="18"/>
                <w:szCs w:val="18"/>
              </w:rPr>
              <w:t>95% CI</w:t>
            </w:r>
          </w:p>
        </w:tc>
        <w:tc>
          <w:tcPr>
            <w:tcW w:w="962" w:type="dxa"/>
            <w:hideMark/>
          </w:tcPr>
          <w:p w:rsidR="00ED12A8" w:rsidRPr="0045227B" w:rsidRDefault="00555858">
            <w:pPr>
              <w:rPr>
                <w:rFonts w:eastAsia="Times New Roman"/>
                <w:sz w:val="18"/>
                <w:szCs w:val="18"/>
              </w:rPr>
            </w:pPr>
            <w:r w:rsidRPr="0045227B">
              <w:rPr>
                <w:rStyle w:val="bold"/>
                <w:rFonts w:eastAsia="Times New Roman"/>
                <w:sz w:val="18"/>
                <w:szCs w:val="18"/>
              </w:rPr>
              <w:t>p-value</w:t>
            </w:r>
          </w:p>
        </w:tc>
      </w:tr>
      <w:tr w:rsidR="00ED12A8" w:rsidRPr="0045227B" w:rsidTr="0045227B">
        <w:trPr>
          <w:tblHeader/>
          <w:jc w:val="center"/>
        </w:trPr>
        <w:tc>
          <w:tcPr>
            <w:tcW w:w="13984" w:type="dxa"/>
            <w:gridSpan w:val="13"/>
            <w:tcBorders>
              <w:top w:val="single" w:sz="12" w:space="0" w:color="000000"/>
            </w:tcBorders>
            <w:hideMark/>
          </w:tcPr>
          <w:p w:rsidR="00ED12A8" w:rsidRPr="0045227B" w:rsidRDefault="00555858">
            <w:pPr>
              <w:rPr>
                <w:rFonts w:eastAsia="Times New Roman"/>
                <w:sz w:val="18"/>
                <w:szCs w:val="18"/>
              </w:rPr>
            </w:pPr>
            <w:r w:rsidRPr="0045227B">
              <w:rPr>
                <w:rStyle w:val="simple"/>
                <w:rFonts w:eastAsia="Times New Roman"/>
                <w:sz w:val="18"/>
                <w:szCs w:val="18"/>
              </w:rPr>
              <w:t>Ethnic origin (Western Europe ref)</w:t>
            </w:r>
          </w:p>
        </w:tc>
      </w:tr>
      <w:tr w:rsidR="0045227B" w:rsidRPr="0045227B" w:rsidTr="0045227B">
        <w:trPr>
          <w:tblHeader/>
          <w:jc w:val="center"/>
        </w:trPr>
        <w:tc>
          <w:tcPr>
            <w:tcW w:w="3377" w:type="dxa"/>
            <w:hideMark/>
          </w:tcPr>
          <w:p w:rsidR="00ED12A8" w:rsidRPr="0045227B" w:rsidRDefault="00555858">
            <w:pPr>
              <w:rPr>
                <w:rFonts w:eastAsia="Times New Roman"/>
                <w:sz w:val="18"/>
                <w:szCs w:val="18"/>
              </w:rPr>
            </w:pPr>
            <w:r w:rsidRPr="0045227B">
              <w:rPr>
                <w:rStyle w:val="simple"/>
                <w:rFonts w:eastAsia="Times New Roman"/>
                <w:sz w:val="18"/>
                <w:szCs w:val="18"/>
              </w:rPr>
              <w:t>     Middle East</w:t>
            </w:r>
          </w:p>
        </w:tc>
        <w:tc>
          <w:tcPr>
            <w:tcW w:w="688" w:type="dxa"/>
            <w:hideMark/>
          </w:tcPr>
          <w:p w:rsidR="00ED12A8" w:rsidRPr="0045227B" w:rsidRDefault="00555858">
            <w:pPr>
              <w:rPr>
                <w:rFonts w:eastAsia="Times New Roman"/>
                <w:sz w:val="18"/>
                <w:szCs w:val="18"/>
              </w:rPr>
            </w:pPr>
            <w:r w:rsidRPr="0045227B">
              <w:rPr>
                <w:rStyle w:val="simple"/>
                <w:rFonts w:eastAsia="Times New Roman"/>
                <w:sz w:val="18"/>
                <w:szCs w:val="18"/>
              </w:rPr>
              <w:t>2.60</w:t>
            </w:r>
          </w:p>
        </w:tc>
        <w:tc>
          <w:tcPr>
            <w:tcW w:w="1029" w:type="dxa"/>
            <w:hideMark/>
          </w:tcPr>
          <w:p w:rsidR="00ED12A8" w:rsidRPr="0045227B" w:rsidRDefault="00555858">
            <w:pPr>
              <w:rPr>
                <w:rFonts w:eastAsia="Times New Roman"/>
                <w:sz w:val="18"/>
                <w:szCs w:val="18"/>
              </w:rPr>
            </w:pPr>
            <w:r w:rsidRPr="0045227B">
              <w:rPr>
                <w:rStyle w:val="simple"/>
                <w:rFonts w:eastAsia="Times New Roman"/>
                <w:sz w:val="18"/>
                <w:szCs w:val="18"/>
              </w:rPr>
              <w:t>1.40-2.80</w:t>
            </w:r>
          </w:p>
        </w:tc>
        <w:tc>
          <w:tcPr>
            <w:tcW w:w="761" w:type="dxa"/>
            <w:hideMark/>
          </w:tcPr>
          <w:p w:rsidR="00ED12A8" w:rsidRPr="0045227B" w:rsidRDefault="00555858">
            <w:pPr>
              <w:rPr>
                <w:rFonts w:eastAsia="Times New Roman"/>
                <w:sz w:val="18"/>
                <w:szCs w:val="18"/>
              </w:rPr>
            </w:pPr>
            <w:r w:rsidRPr="0045227B">
              <w:rPr>
                <w:rStyle w:val="simple"/>
                <w:rFonts w:eastAsia="Times New Roman"/>
                <w:sz w:val="18"/>
                <w:szCs w:val="18"/>
              </w:rPr>
              <w:t>0.002</w:t>
            </w:r>
          </w:p>
        </w:tc>
        <w:tc>
          <w:tcPr>
            <w:tcW w:w="657" w:type="dxa"/>
            <w:hideMark/>
          </w:tcPr>
          <w:p w:rsidR="00ED12A8" w:rsidRPr="0045227B" w:rsidRDefault="00555858">
            <w:pPr>
              <w:rPr>
                <w:rFonts w:eastAsia="Times New Roman"/>
                <w:sz w:val="18"/>
                <w:szCs w:val="18"/>
              </w:rPr>
            </w:pPr>
            <w:r w:rsidRPr="0045227B">
              <w:rPr>
                <w:rStyle w:val="simple"/>
                <w:rFonts w:eastAsia="Times New Roman"/>
                <w:sz w:val="18"/>
                <w:szCs w:val="18"/>
              </w:rPr>
              <w:t>2.81</w:t>
            </w:r>
          </w:p>
        </w:tc>
        <w:tc>
          <w:tcPr>
            <w:tcW w:w="1228" w:type="dxa"/>
            <w:hideMark/>
          </w:tcPr>
          <w:p w:rsidR="00ED12A8" w:rsidRPr="0045227B" w:rsidRDefault="00555858">
            <w:pPr>
              <w:rPr>
                <w:rFonts w:eastAsia="Times New Roman"/>
                <w:sz w:val="18"/>
                <w:szCs w:val="18"/>
              </w:rPr>
            </w:pPr>
            <w:r w:rsidRPr="0045227B">
              <w:rPr>
                <w:rStyle w:val="simple"/>
                <w:rFonts w:eastAsia="Times New Roman"/>
                <w:sz w:val="18"/>
                <w:szCs w:val="18"/>
              </w:rPr>
              <w:t>1.29-6.15</w:t>
            </w:r>
          </w:p>
        </w:tc>
        <w:tc>
          <w:tcPr>
            <w:tcW w:w="909" w:type="dxa"/>
            <w:hideMark/>
          </w:tcPr>
          <w:p w:rsidR="00ED12A8" w:rsidRPr="0045227B" w:rsidRDefault="00555858">
            <w:pPr>
              <w:rPr>
                <w:rFonts w:eastAsia="Times New Roman"/>
                <w:sz w:val="18"/>
                <w:szCs w:val="18"/>
              </w:rPr>
            </w:pPr>
            <w:r w:rsidRPr="0045227B">
              <w:rPr>
                <w:rStyle w:val="simple"/>
                <w:rFonts w:eastAsia="Times New Roman"/>
                <w:sz w:val="18"/>
                <w:szCs w:val="18"/>
              </w:rPr>
              <w:t>0.010</w:t>
            </w:r>
          </w:p>
        </w:tc>
        <w:tc>
          <w:tcPr>
            <w:tcW w:w="525" w:type="dxa"/>
            <w:hideMark/>
          </w:tcPr>
          <w:p w:rsidR="00ED12A8" w:rsidRPr="0045227B" w:rsidRDefault="00555858">
            <w:pPr>
              <w:rPr>
                <w:rFonts w:eastAsia="Times New Roman"/>
                <w:sz w:val="18"/>
                <w:szCs w:val="18"/>
              </w:rPr>
            </w:pPr>
            <w:r w:rsidRPr="0045227B">
              <w:rPr>
                <w:rStyle w:val="simple"/>
                <w:rFonts w:eastAsia="Times New Roman"/>
                <w:sz w:val="18"/>
                <w:szCs w:val="18"/>
              </w:rPr>
              <w:t>2.44</w:t>
            </w:r>
          </w:p>
        </w:tc>
        <w:tc>
          <w:tcPr>
            <w:tcW w:w="1229" w:type="dxa"/>
            <w:hideMark/>
          </w:tcPr>
          <w:p w:rsidR="00ED12A8" w:rsidRPr="0045227B" w:rsidRDefault="00555858">
            <w:pPr>
              <w:rPr>
                <w:rFonts w:eastAsia="Times New Roman"/>
                <w:sz w:val="18"/>
                <w:szCs w:val="18"/>
              </w:rPr>
            </w:pPr>
            <w:r w:rsidRPr="0045227B">
              <w:rPr>
                <w:rStyle w:val="simple"/>
                <w:rFonts w:eastAsia="Times New Roman"/>
                <w:sz w:val="18"/>
                <w:szCs w:val="18"/>
              </w:rPr>
              <w:t>1.07-5.57</w:t>
            </w:r>
          </w:p>
        </w:tc>
        <w:tc>
          <w:tcPr>
            <w:tcW w:w="913" w:type="dxa"/>
            <w:hideMark/>
          </w:tcPr>
          <w:p w:rsidR="00ED12A8" w:rsidRPr="0045227B" w:rsidRDefault="00555858">
            <w:pPr>
              <w:rPr>
                <w:rFonts w:eastAsia="Times New Roman"/>
                <w:sz w:val="18"/>
                <w:szCs w:val="18"/>
              </w:rPr>
            </w:pPr>
            <w:r w:rsidRPr="0045227B">
              <w:rPr>
                <w:rStyle w:val="simple"/>
                <w:rFonts w:eastAsia="Times New Roman"/>
                <w:sz w:val="18"/>
                <w:szCs w:val="18"/>
              </w:rPr>
              <w:t>0.034</w:t>
            </w:r>
          </w:p>
        </w:tc>
        <w:tc>
          <w:tcPr>
            <w:tcW w:w="554" w:type="dxa"/>
            <w:hideMark/>
          </w:tcPr>
          <w:p w:rsidR="00ED12A8" w:rsidRPr="0045227B" w:rsidRDefault="00ED12A8">
            <w:pPr>
              <w:rPr>
                <w:rFonts w:eastAsia="Times New Roman"/>
                <w:sz w:val="18"/>
                <w:szCs w:val="18"/>
              </w:rPr>
            </w:pPr>
          </w:p>
        </w:tc>
        <w:tc>
          <w:tcPr>
            <w:tcW w:w="1152" w:type="dxa"/>
            <w:hideMark/>
          </w:tcPr>
          <w:p w:rsidR="00ED12A8" w:rsidRPr="0045227B" w:rsidRDefault="00ED12A8">
            <w:pPr>
              <w:rPr>
                <w:rFonts w:eastAsia="Times New Roman"/>
                <w:sz w:val="18"/>
                <w:szCs w:val="18"/>
              </w:rPr>
            </w:pPr>
          </w:p>
        </w:tc>
        <w:tc>
          <w:tcPr>
            <w:tcW w:w="962" w:type="dxa"/>
            <w:hideMark/>
          </w:tcPr>
          <w:p w:rsidR="00ED12A8" w:rsidRPr="0045227B" w:rsidRDefault="00ED12A8">
            <w:pPr>
              <w:rPr>
                <w:rFonts w:eastAsia="Times New Roman"/>
                <w:sz w:val="18"/>
                <w:szCs w:val="18"/>
              </w:rPr>
            </w:pPr>
          </w:p>
        </w:tc>
      </w:tr>
      <w:tr w:rsidR="0045227B" w:rsidRPr="0045227B" w:rsidTr="0045227B">
        <w:trPr>
          <w:tblHeader/>
          <w:jc w:val="center"/>
        </w:trPr>
        <w:tc>
          <w:tcPr>
            <w:tcW w:w="3377" w:type="dxa"/>
            <w:hideMark/>
          </w:tcPr>
          <w:p w:rsidR="00ED12A8" w:rsidRPr="0045227B" w:rsidRDefault="00555858">
            <w:pPr>
              <w:rPr>
                <w:rFonts w:eastAsia="Times New Roman"/>
                <w:sz w:val="18"/>
                <w:szCs w:val="18"/>
              </w:rPr>
            </w:pPr>
            <w:r w:rsidRPr="0045227B">
              <w:rPr>
                <w:rStyle w:val="simple"/>
                <w:rFonts w:eastAsia="Times New Roman"/>
                <w:sz w:val="18"/>
                <w:szCs w:val="18"/>
              </w:rPr>
              <w:t>     South Asia</w:t>
            </w:r>
          </w:p>
        </w:tc>
        <w:tc>
          <w:tcPr>
            <w:tcW w:w="688" w:type="dxa"/>
            <w:hideMark/>
          </w:tcPr>
          <w:p w:rsidR="00ED12A8" w:rsidRPr="0045227B" w:rsidRDefault="00555858">
            <w:pPr>
              <w:rPr>
                <w:rFonts w:eastAsia="Times New Roman"/>
                <w:sz w:val="18"/>
                <w:szCs w:val="18"/>
              </w:rPr>
            </w:pPr>
            <w:r w:rsidRPr="0045227B">
              <w:rPr>
                <w:rStyle w:val="simple"/>
                <w:rFonts w:eastAsia="Times New Roman"/>
                <w:sz w:val="18"/>
                <w:szCs w:val="18"/>
              </w:rPr>
              <w:t>2.27</w:t>
            </w:r>
          </w:p>
        </w:tc>
        <w:tc>
          <w:tcPr>
            <w:tcW w:w="1029" w:type="dxa"/>
            <w:hideMark/>
          </w:tcPr>
          <w:p w:rsidR="00ED12A8" w:rsidRPr="0045227B" w:rsidRDefault="00555858">
            <w:pPr>
              <w:rPr>
                <w:rFonts w:eastAsia="Times New Roman"/>
                <w:sz w:val="18"/>
                <w:szCs w:val="18"/>
              </w:rPr>
            </w:pPr>
            <w:r w:rsidRPr="0045227B">
              <w:rPr>
                <w:rStyle w:val="simple"/>
                <w:rFonts w:eastAsia="Times New Roman"/>
                <w:sz w:val="18"/>
                <w:szCs w:val="18"/>
              </w:rPr>
              <w:t>1.31-3.94</w:t>
            </w:r>
          </w:p>
        </w:tc>
        <w:tc>
          <w:tcPr>
            <w:tcW w:w="761" w:type="dxa"/>
            <w:hideMark/>
          </w:tcPr>
          <w:p w:rsidR="00ED12A8" w:rsidRPr="0045227B" w:rsidRDefault="00555858">
            <w:pPr>
              <w:rPr>
                <w:rFonts w:eastAsia="Times New Roman"/>
                <w:sz w:val="18"/>
                <w:szCs w:val="18"/>
              </w:rPr>
            </w:pPr>
            <w:r w:rsidRPr="0045227B">
              <w:rPr>
                <w:rStyle w:val="simple"/>
                <w:rFonts w:eastAsia="Times New Roman"/>
                <w:sz w:val="18"/>
                <w:szCs w:val="18"/>
              </w:rPr>
              <w:t>0.003</w:t>
            </w:r>
          </w:p>
        </w:tc>
        <w:tc>
          <w:tcPr>
            <w:tcW w:w="657" w:type="dxa"/>
            <w:hideMark/>
          </w:tcPr>
          <w:p w:rsidR="00ED12A8" w:rsidRPr="0045227B" w:rsidRDefault="00555858">
            <w:pPr>
              <w:rPr>
                <w:rFonts w:eastAsia="Times New Roman"/>
                <w:sz w:val="18"/>
                <w:szCs w:val="18"/>
              </w:rPr>
            </w:pPr>
            <w:r w:rsidRPr="0045227B">
              <w:rPr>
                <w:rStyle w:val="simple"/>
                <w:rFonts w:eastAsia="Times New Roman"/>
                <w:sz w:val="18"/>
                <w:szCs w:val="18"/>
              </w:rPr>
              <w:t>2.72</w:t>
            </w:r>
          </w:p>
        </w:tc>
        <w:tc>
          <w:tcPr>
            <w:tcW w:w="1228" w:type="dxa"/>
            <w:hideMark/>
          </w:tcPr>
          <w:p w:rsidR="00ED12A8" w:rsidRPr="0045227B" w:rsidRDefault="00555858">
            <w:pPr>
              <w:rPr>
                <w:rFonts w:eastAsia="Times New Roman"/>
                <w:sz w:val="18"/>
                <w:szCs w:val="18"/>
              </w:rPr>
            </w:pPr>
            <w:r w:rsidRPr="0045227B">
              <w:rPr>
                <w:rStyle w:val="simple"/>
                <w:rFonts w:eastAsia="Times New Roman"/>
                <w:sz w:val="18"/>
                <w:szCs w:val="18"/>
              </w:rPr>
              <w:t>1.35-5.48</w:t>
            </w:r>
          </w:p>
        </w:tc>
        <w:tc>
          <w:tcPr>
            <w:tcW w:w="909" w:type="dxa"/>
            <w:hideMark/>
          </w:tcPr>
          <w:p w:rsidR="00ED12A8" w:rsidRPr="0045227B" w:rsidRDefault="00555858">
            <w:pPr>
              <w:rPr>
                <w:rFonts w:eastAsia="Times New Roman"/>
                <w:sz w:val="18"/>
                <w:szCs w:val="18"/>
              </w:rPr>
            </w:pPr>
            <w:r w:rsidRPr="0045227B">
              <w:rPr>
                <w:rStyle w:val="simple"/>
                <w:rFonts w:eastAsia="Times New Roman"/>
                <w:sz w:val="18"/>
                <w:szCs w:val="18"/>
              </w:rPr>
              <w:t>0.005</w:t>
            </w:r>
          </w:p>
        </w:tc>
        <w:tc>
          <w:tcPr>
            <w:tcW w:w="525" w:type="dxa"/>
            <w:hideMark/>
          </w:tcPr>
          <w:p w:rsidR="00ED12A8" w:rsidRPr="0045227B" w:rsidRDefault="00555858">
            <w:pPr>
              <w:rPr>
                <w:rFonts w:eastAsia="Times New Roman"/>
                <w:sz w:val="18"/>
                <w:szCs w:val="18"/>
              </w:rPr>
            </w:pPr>
            <w:r w:rsidRPr="0045227B">
              <w:rPr>
                <w:rStyle w:val="simple"/>
                <w:rFonts w:eastAsia="Times New Roman"/>
                <w:sz w:val="18"/>
                <w:szCs w:val="18"/>
              </w:rPr>
              <w:t>2.25</w:t>
            </w:r>
          </w:p>
        </w:tc>
        <w:tc>
          <w:tcPr>
            <w:tcW w:w="1229" w:type="dxa"/>
            <w:hideMark/>
          </w:tcPr>
          <w:p w:rsidR="00ED12A8" w:rsidRPr="0045227B" w:rsidRDefault="00555858">
            <w:pPr>
              <w:rPr>
                <w:rFonts w:eastAsia="Times New Roman"/>
                <w:sz w:val="18"/>
                <w:szCs w:val="18"/>
              </w:rPr>
            </w:pPr>
            <w:r w:rsidRPr="0045227B">
              <w:rPr>
                <w:rStyle w:val="simple"/>
                <w:rFonts w:eastAsia="Times New Roman"/>
                <w:sz w:val="18"/>
                <w:szCs w:val="18"/>
              </w:rPr>
              <w:t>1.07-4.72</w:t>
            </w:r>
          </w:p>
        </w:tc>
        <w:tc>
          <w:tcPr>
            <w:tcW w:w="913" w:type="dxa"/>
            <w:hideMark/>
          </w:tcPr>
          <w:p w:rsidR="00ED12A8" w:rsidRPr="0045227B" w:rsidRDefault="00555858">
            <w:pPr>
              <w:rPr>
                <w:rFonts w:eastAsia="Times New Roman"/>
                <w:sz w:val="18"/>
                <w:szCs w:val="18"/>
              </w:rPr>
            </w:pPr>
            <w:r w:rsidRPr="0045227B">
              <w:rPr>
                <w:rStyle w:val="simple"/>
                <w:rFonts w:eastAsia="Times New Roman"/>
                <w:sz w:val="18"/>
                <w:szCs w:val="18"/>
              </w:rPr>
              <w:t>0.033</w:t>
            </w:r>
          </w:p>
        </w:tc>
        <w:tc>
          <w:tcPr>
            <w:tcW w:w="554" w:type="dxa"/>
            <w:hideMark/>
          </w:tcPr>
          <w:p w:rsidR="00ED12A8" w:rsidRPr="0045227B" w:rsidRDefault="00ED12A8">
            <w:pPr>
              <w:rPr>
                <w:rFonts w:eastAsia="Times New Roman"/>
                <w:sz w:val="18"/>
                <w:szCs w:val="18"/>
              </w:rPr>
            </w:pPr>
          </w:p>
        </w:tc>
        <w:tc>
          <w:tcPr>
            <w:tcW w:w="1152" w:type="dxa"/>
            <w:hideMark/>
          </w:tcPr>
          <w:p w:rsidR="00ED12A8" w:rsidRPr="0045227B" w:rsidRDefault="00ED12A8">
            <w:pPr>
              <w:rPr>
                <w:rFonts w:eastAsia="Times New Roman"/>
                <w:sz w:val="18"/>
                <w:szCs w:val="18"/>
              </w:rPr>
            </w:pPr>
          </w:p>
        </w:tc>
        <w:tc>
          <w:tcPr>
            <w:tcW w:w="962" w:type="dxa"/>
            <w:hideMark/>
          </w:tcPr>
          <w:p w:rsidR="00ED12A8" w:rsidRPr="0045227B" w:rsidRDefault="00ED12A8">
            <w:pPr>
              <w:rPr>
                <w:rFonts w:eastAsia="Times New Roman"/>
                <w:sz w:val="18"/>
                <w:szCs w:val="18"/>
              </w:rPr>
            </w:pPr>
          </w:p>
        </w:tc>
      </w:tr>
      <w:tr w:rsidR="0045227B" w:rsidRPr="0045227B" w:rsidTr="0045227B">
        <w:trPr>
          <w:tblHeader/>
          <w:jc w:val="center"/>
        </w:trPr>
        <w:tc>
          <w:tcPr>
            <w:tcW w:w="3377" w:type="dxa"/>
            <w:hideMark/>
          </w:tcPr>
          <w:p w:rsidR="00ED12A8" w:rsidRPr="0045227B" w:rsidRDefault="00555858">
            <w:pPr>
              <w:rPr>
                <w:rFonts w:eastAsia="Times New Roman"/>
                <w:sz w:val="18"/>
                <w:szCs w:val="18"/>
              </w:rPr>
            </w:pPr>
            <w:r w:rsidRPr="0045227B">
              <w:rPr>
                <w:rStyle w:val="simple"/>
                <w:rFonts w:eastAsia="Times New Roman"/>
                <w:sz w:val="18"/>
                <w:szCs w:val="18"/>
              </w:rPr>
              <w:t>     Other minorities</w:t>
            </w:r>
          </w:p>
        </w:tc>
        <w:tc>
          <w:tcPr>
            <w:tcW w:w="688" w:type="dxa"/>
            <w:hideMark/>
          </w:tcPr>
          <w:p w:rsidR="00ED12A8" w:rsidRPr="0045227B" w:rsidRDefault="00555858">
            <w:pPr>
              <w:rPr>
                <w:rFonts w:eastAsia="Times New Roman"/>
                <w:sz w:val="18"/>
                <w:szCs w:val="18"/>
              </w:rPr>
            </w:pPr>
            <w:r w:rsidRPr="0045227B">
              <w:rPr>
                <w:rStyle w:val="simple"/>
                <w:rFonts w:eastAsia="Times New Roman"/>
                <w:sz w:val="18"/>
                <w:szCs w:val="18"/>
              </w:rPr>
              <w:t>1.36</w:t>
            </w:r>
          </w:p>
        </w:tc>
        <w:tc>
          <w:tcPr>
            <w:tcW w:w="1029" w:type="dxa"/>
            <w:hideMark/>
          </w:tcPr>
          <w:p w:rsidR="00ED12A8" w:rsidRPr="0045227B" w:rsidRDefault="00555858">
            <w:pPr>
              <w:rPr>
                <w:rFonts w:eastAsia="Times New Roman"/>
                <w:sz w:val="18"/>
                <w:szCs w:val="18"/>
              </w:rPr>
            </w:pPr>
            <w:r w:rsidRPr="0045227B">
              <w:rPr>
                <w:rStyle w:val="simple"/>
                <w:rFonts w:eastAsia="Times New Roman"/>
                <w:sz w:val="18"/>
                <w:szCs w:val="18"/>
              </w:rPr>
              <w:t>0.71-2.63</w:t>
            </w:r>
          </w:p>
        </w:tc>
        <w:tc>
          <w:tcPr>
            <w:tcW w:w="761" w:type="dxa"/>
            <w:hideMark/>
          </w:tcPr>
          <w:p w:rsidR="00ED12A8" w:rsidRPr="0045227B" w:rsidRDefault="00555858">
            <w:pPr>
              <w:rPr>
                <w:rFonts w:eastAsia="Times New Roman"/>
                <w:sz w:val="18"/>
                <w:szCs w:val="18"/>
              </w:rPr>
            </w:pPr>
            <w:r w:rsidRPr="0045227B">
              <w:rPr>
                <w:rStyle w:val="simple"/>
                <w:rFonts w:eastAsia="Times New Roman"/>
                <w:sz w:val="18"/>
                <w:szCs w:val="18"/>
              </w:rPr>
              <w:t>0.356</w:t>
            </w:r>
          </w:p>
        </w:tc>
        <w:tc>
          <w:tcPr>
            <w:tcW w:w="657" w:type="dxa"/>
            <w:hideMark/>
          </w:tcPr>
          <w:p w:rsidR="00ED12A8" w:rsidRPr="0045227B" w:rsidRDefault="00555858">
            <w:pPr>
              <w:rPr>
                <w:rFonts w:eastAsia="Times New Roman"/>
                <w:sz w:val="18"/>
                <w:szCs w:val="18"/>
              </w:rPr>
            </w:pPr>
            <w:r w:rsidRPr="0045227B">
              <w:rPr>
                <w:rStyle w:val="simple"/>
                <w:rFonts w:eastAsia="Times New Roman"/>
                <w:sz w:val="18"/>
                <w:szCs w:val="18"/>
              </w:rPr>
              <w:t>1.24</w:t>
            </w:r>
          </w:p>
        </w:tc>
        <w:tc>
          <w:tcPr>
            <w:tcW w:w="1228" w:type="dxa"/>
            <w:hideMark/>
          </w:tcPr>
          <w:p w:rsidR="00ED12A8" w:rsidRPr="0045227B" w:rsidRDefault="00555858">
            <w:pPr>
              <w:rPr>
                <w:rFonts w:eastAsia="Times New Roman"/>
                <w:sz w:val="18"/>
                <w:szCs w:val="18"/>
              </w:rPr>
            </w:pPr>
            <w:r w:rsidRPr="0045227B">
              <w:rPr>
                <w:rStyle w:val="simple"/>
                <w:rFonts w:eastAsia="Times New Roman"/>
                <w:sz w:val="18"/>
                <w:szCs w:val="18"/>
              </w:rPr>
              <w:t>0.51-3.04</w:t>
            </w:r>
          </w:p>
        </w:tc>
        <w:tc>
          <w:tcPr>
            <w:tcW w:w="909" w:type="dxa"/>
            <w:hideMark/>
          </w:tcPr>
          <w:p w:rsidR="00ED12A8" w:rsidRPr="0045227B" w:rsidRDefault="00555858">
            <w:pPr>
              <w:rPr>
                <w:rFonts w:eastAsia="Times New Roman"/>
                <w:sz w:val="18"/>
                <w:szCs w:val="18"/>
              </w:rPr>
            </w:pPr>
            <w:r w:rsidRPr="0045227B">
              <w:rPr>
                <w:rStyle w:val="simple"/>
                <w:rFonts w:eastAsia="Times New Roman"/>
                <w:sz w:val="18"/>
                <w:szCs w:val="18"/>
              </w:rPr>
              <w:t>0.638</w:t>
            </w:r>
          </w:p>
        </w:tc>
        <w:tc>
          <w:tcPr>
            <w:tcW w:w="525" w:type="dxa"/>
            <w:hideMark/>
          </w:tcPr>
          <w:p w:rsidR="00ED12A8" w:rsidRPr="0045227B" w:rsidRDefault="00555858">
            <w:pPr>
              <w:rPr>
                <w:rFonts w:eastAsia="Times New Roman"/>
                <w:sz w:val="18"/>
                <w:szCs w:val="18"/>
              </w:rPr>
            </w:pPr>
            <w:r w:rsidRPr="0045227B">
              <w:rPr>
                <w:rStyle w:val="simple"/>
                <w:rFonts w:eastAsia="Times New Roman"/>
                <w:sz w:val="18"/>
                <w:szCs w:val="18"/>
              </w:rPr>
              <w:t>1.16</w:t>
            </w:r>
          </w:p>
        </w:tc>
        <w:tc>
          <w:tcPr>
            <w:tcW w:w="1229" w:type="dxa"/>
            <w:hideMark/>
          </w:tcPr>
          <w:p w:rsidR="00ED12A8" w:rsidRPr="0045227B" w:rsidRDefault="00555858">
            <w:pPr>
              <w:rPr>
                <w:rFonts w:eastAsia="Times New Roman"/>
                <w:sz w:val="18"/>
                <w:szCs w:val="18"/>
              </w:rPr>
            </w:pPr>
            <w:r w:rsidRPr="0045227B">
              <w:rPr>
                <w:rStyle w:val="simple"/>
                <w:rFonts w:eastAsia="Times New Roman"/>
                <w:sz w:val="18"/>
                <w:szCs w:val="18"/>
              </w:rPr>
              <w:t>0.46-2.88</w:t>
            </w:r>
          </w:p>
        </w:tc>
        <w:tc>
          <w:tcPr>
            <w:tcW w:w="913" w:type="dxa"/>
            <w:hideMark/>
          </w:tcPr>
          <w:p w:rsidR="00ED12A8" w:rsidRPr="0045227B" w:rsidRDefault="00555858">
            <w:pPr>
              <w:rPr>
                <w:rFonts w:eastAsia="Times New Roman"/>
                <w:sz w:val="18"/>
                <w:szCs w:val="18"/>
              </w:rPr>
            </w:pPr>
            <w:r w:rsidRPr="0045227B">
              <w:rPr>
                <w:rStyle w:val="simple"/>
                <w:rFonts w:eastAsia="Times New Roman"/>
                <w:sz w:val="18"/>
                <w:szCs w:val="18"/>
              </w:rPr>
              <w:t>0.759</w:t>
            </w:r>
          </w:p>
        </w:tc>
        <w:tc>
          <w:tcPr>
            <w:tcW w:w="554" w:type="dxa"/>
            <w:hideMark/>
          </w:tcPr>
          <w:p w:rsidR="00ED12A8" w:rsidRPr="0045227B" w:rsidRDefault="00ED12A8">
            <w:pPr>
              <w:rPr>
                <w:rFonts w:eastAsia="Times New Roman"/>
                <w:sz w:val="18"/>
                <w:szCs w:val="18"/>
              </w:rPr>
            </w:pPr>
          </w:p>
        </w:tc>
        <w:tc>
          <w:tcPr>
            <w:tcW w:w="1152" w:type="dxa"/>
            <w:hideMark/>
          </w:tcPr>
          <w:p w:rsidR="00ED12A8" w:rsidRPr="0045227B" w:rsidRDefault="00ED12A8">
            <w:pPr>
              <w:rPr>
                <w:rFonts w:eastAsia="Times New Roman"/>
                <w:sz w:val="18"/>
                <w:szCs w:val="18"/>
              </w:rPr>
            </w:pPr>
          </w:p>
        </w:tc>
        <w:tc>
          <w:tcPr>
            <w:tcW w:w="962" w:type="dxa"/>
            <w:hideMark/>
          </w:tcPr>
          <w:p w:rsidR="00ED12A8" w:rsidRPr="0045227B" w:rsidRDefault="00ED12A8">
            <w:pPr>
              <w:rPr>
                <w:rFonts w:eastAsia="Times New Roman"/>
                <w:sz w:val="18"/>
                <w:szCs w:val="18"/>
              </w:rPr>
            </w:pPr>
          </w:p>
        </w:tc>
      </w:tr>
      <w:tr w:rsidR="0045227B" w:rsidRPr="0045227B" w:rsidTr="0045227B">
        <w:trPr>
          <w:tblHeader/>
          <w:jc w:val="center"/>
        </w:trPr>
        <w:tc>
          <w:tcPr>
            <w:tcW w:w="3377" w:type="dxa"/>
            <w:hideMark/>
          </w:tcPr>
          <w:p w:rsidR="00ED12A8" w:rsidRPr="0045227B" w:rsidRDefault="00555858">
            <w:pPr>
              <w:rPr>
                <w:rFonts w:eastAsia="Times New Roman"/>
                <w:sz w:val="18"/>
                <w:szCs w:val="18"/>
              </w:rPr>
            </w:pPr>
            <w:r w:rsidRPr="0045227B">
              <w:rPr>
                <w:rStyle w:val="simple"/>
                <w:rFonts w:eastAsia="Times New Roman"/>
                <w:sz w:val="18"/>
                <w:szCs w:val="18"/>
              </w:rPr>
              <w:t>Gestational week at inclusion</w:t>
            </w:r>
          </w:p>
        </w:tc>
        <w:tc>
          <w:tcPr>
            <w:tcW w:w="688" w:type="dxa"/>
            <w:hideMark/>
          </w:tcPr>
          <w:p w:rsidR="00ED12A8" w:rsidRPr="0045227B" w:rsidRDefault="00555858">
            <w:pPr>
              <w:rPr>
                <w:rFonts w:eastAsia="Times New Roman"/>
                <w:sz w:val="18"/>
                <w:szCs w:val="18"/>
              </w:rPr>
            </w:pPr>
            <w:r w:rsidRPr="0045227B">
              <w:rPr>
                <w:rStyle w:val="simple"/>
                <w:rFonts w:eastAsia="Times New Roman"/>
                <w:sz w:val="18"/>
                <w:szCs w:val="18"/>
              </w:rPr>
              <w:t>1.03</w:t>
            </w:r>
          </w:p>
        </w:tc>
        <w:tc>
          <w:tcPr>
            <w:tcW w:w="1029" w:type="dxa"/>
            <w:hideMark/>
          </w:tcPr>
          <w:p w:rsidR="00ED12A8" w:rsidRPr="0045227B" w:rsidRDefault="00555858">
            <w:pPr>
              <w:rPr>
                <w:rFonts w:eastAsia="Times New Roman"/>
                <w:sz w:val="18"/>
                <w:szCs w:val="18"/>
              </w:rPr>
            </w:pPr>
            <w:r w:rsidRPr="0045227B">
              <w:rPr>
                <w:rStyle w:val="simple"/>
                <w:rFonts w:eastAsia="Times New Roman"/>
                <w:sz w:val="18"/>
                <w:szCs w:val="18"/>
              </w:rPr>
              <w:t>0.97-1.10</w:t>
            </w:r>
          </w:p>
        </w:tc>
        <w:tc>
          <w:tcPr>
            <w:tcW w:w="761" w:type="dxa"/>
            <w:hideMark/>
          </w:tcPr>
          <w:p w:rsidR="00ED12A8" w:rsidRPr="0045227B" w:rsidRDefault="00555858">
            <w:pPr>
              <w:rPr>
                <w:rFonts w:eastAsia="Times New Roman"/>
                <w:sz w:val="18"/>
                <w:szCs w:val="18"/>
              </w:rPr>
            </w:pPr>
            <w:r w:rsidRPr="0045227B">
              <w:rPr>
                <w:rStyle w:val="simple"/>
                <w:rFonts w:eastAsia="Times New Roman"/>
                <w:sz w:val="18"/>
                <w:szCs w:val="18"/>
              </w:rPr>
              <w:t>0.380</w:t>
            </w:r>
          </w:p>
        </w:tc>
        <w:tc>
          <w:tcPr>
            <w:tcW w:w="657" w:type="dxa"/>
            <w:hideMark/>
          </w:tcPr>
          <w:p w:rsidR="00ED12A8" w:rsidRPr="0045227B" w:rsidRDefault="00555858">
            <w:pPr>
              <w:rPr>
                <w:rFonts w:eastAsia="Times New Roman"/>
                <w:sz w:val="18"/>
                <w:szCs w:val="18"/>
              </w:rPr>
            </w:pPr>
            <w:r w:rsidRPr="0045227B">
              <w:rPr>
                <w:rStyle w:val="simple"/>
                <w:rFonts w:eastAsia="Times New Roman"/>
                <w:sz w:val="18"/>
                <w:szCs w:val="18"/>
              </w:rPr>
              <w:t>0.99</w:t>
            </w:r>
          </w:p>
        </w:tc>
        <w:tc>
          <w:tcPr>
            <w:tcW w:w="1228" w:type="dxa"/>
            <w:hideMark/>
          </w:tcPr>
          <w:p w:rsidR="00ED12A8" w:rsidRPr="0045227B" w:rsidRDefault="00555858">
            <w:pPr>
              <w:rPr>
                <w:rFonts w:eastAsia="Times New Roman"/>
                <w:sz w:val="18"/>
                <w:szCs w:val="18"/>
              </w:rPr>
            </w:pPr>
            <w:r w:rsidRPr="0045227B">
              <w:rPr>
                <w:rStyle w:val="simple"/>
                <w:rFonts w:eastAsia="Times New Roman"/>
                <w:sz w:val="18"/>
                <w:szCs w:val="18"/>
              </w:rPr>
              <w:t>0.92-1.08</w:t>
            </w:r>
          </w:p>
        </w:tc>
        <w:tc>
          <w:tcPr>
            <w:tcW w:w="909" w:type="dxa"/>
            <w:hideMark/>
          </w:tcPr>
          <w:p w:rsidR="00ED12A8" w:rsidRPr="0045227B" w:rsidRDefault="00555858">
            <w:pPr>
              <w:rPr>
                <w:rFonts w:eastAsia="Times New Roman"/>
                <w:sz w:val="18"/>
                <w:szCs w:val="18"/>
              </w:rPr>
            </w:pPr>
            <w:r w:rsidRPr="0045227B">
              <w:rPr>
                <w:rStyle w:val="simple"/>
                <w:rFonts w:eastAsia="Times New Roman"/>
                <w:sz w:val="18"/>
                <w:szCs w:val="18"/>
              </w:rPr>
              <w:t>0.878</w:t>
            </w:r>
          </w:p>
        </w:tc>
        <w:tc>
          <w:tcPr>
            <w:tcW w:w="525" w:type="dxa"/>
            <w:hideMark/>
          </w:tcPr>
          <w:p w:rsidR="00ED12A8" w:rsidRPr="0045227B" w:rsidRDefault="00555858">
            <w:pPr>
              <w:rPr>
                <w:rFonts w:eastAsia="Times New Roman"/>
                <w:sz w:val="18"/>
                <w:szCs w:val="18"/>
              </w:rPr>
            </w:pPr>
            <w:r w:rsidRPr="0045227B">
              <w:rPr>
                <w:rStyle w:val="simple"/>
                <w:rFonts w:eastAsia="Times New Roman"/>
                <w:sz w:val="18"/>
                <w:szCs w:val="18"/>
              </w:rPr>
              <w:t>0.99</w:t>
            </w:r>
          </w:p>
        </w:tc>
        <w:tc>
          <w:tcPr>
            <w:tcW w:w="1229" w:type="dxa"/>
            <w:hideMark/>
          </w:tcPr>
          <w:p w:rsidR="00ED12A8" w:rsidRPr="0045227B" w:rsidRDefault="00555858">
            <w:pPr>
              <w:rPr>
                <w:rFonts w:eastAsia="Times New Roman"/>
                <w:sz w:val="18"/>
                <w:szCs w:val="18"/>
              </w:rPr>
            </w:pPr>
            <w:r w:rsidRPr="0045227B">
              <w:rPr>
                <w:rStyle w:val="simple"/>
                <w:rFonts w:eastAsia="Times New Roman"/>
                <w:sz w:val="18"/>
                <w:szCs w:val="18"/>
              </w:rPr>
              <w:t>0.91-1.08</w:t>
            </w:r>
          </w:p>
        </w:tc>
        <w:tc>
          <w:tcPr>
            <w:tcW w:w="913" w:type="dxa"/>
            <w:hideMark/>
          </w:tcPr>
          <w:p w:rsidR="00ED12A8" w:rsidRPr="0045227B" w:rsidRDefault="00555858">
            <w:pPr>
              <w:rPr>
                <w:rFonts w:eastAsia="Times New Roman"/>
                <w:sz w:val="18"/>
                <w:szCs w:val="18"/>
              </w:rPr>
            </w:pPr>
            <w:r w:rsidRPr="0045227B">
              <w:rPr>
                <w:rStyle w:val="simple"/>
                <w:rFonts w:eastAsia="Times New Roman"/>
                <w:sz w:val="18"/>
                <w:szCs w:val="18"/>
              </w:rPr>
              <w:t>0.863</w:t>
            </w:r>
          </w:p>
        </w:tc>
        <w:tc>
          <w:tcPr>
            <w:tcW w:w="554" w:type="dxa"/>
            <w:hideMark/>
          </w:tcPr>
          <w:p w:rsidR="00ED12A8" w:rsidRPr="0045227B" w:rsidRDefault="00555858">
            <w:pPr>
              <w:rPr>
                <w:rFonts w:eastAsia="Times New Roman"/>
                <w:sz w:val="18"/>
                <w:szCs w:val="18"/>
              </w:rPr>
            </w:pPr>
            <w:r w:rsidRPr="0045227B">
              <w:rPr>
                <w:rStyle w:val="simple"/>
                <w:rFonts w:eastAsia="Times New Roman"/>
                <w:sz w:val="18"/>
                <w:szCs w:val="18"/>
              </w:rPr>
              <w:t>0.99</w:t>
            </w:r>
          </w:p>
        </w:tc>
        <w:tc>
          <w:tcPr>
            <w:tcW w:w="1152" w:type="dxa"/>
            <w:hideMark/>
          </w:tcPr>
          <w:p w:rsidR="00ED12A8" w:rsidRPr="0045227B" w:rsidRDefault="00555858">
            <w:pPr>
              <w:rPr>
                <w:rFonts w:eastAsia="Times New Roman"/>
                <w:sz w:val="18"/>
                <w:szCs w:val="18"/>
              </w:rPr>
            </w:pPr>
            <w:r w:rsidRPr="0045227B">
              <w:rPr>
                <w:rStyle w:val="simple"/>
                <w:rFonts w:eastAsia="Times New Roman"/>
                <w:sz w:val="18"/>
                <w:szCs w:val="18"/>
              </w:rPr>
              <w:t>0.91-1.08</w:t>
            </w:r>
          </w:p>
        </w:tc>
        <w:tc>
          <w:tcPr>
            <w:tcW w:w="962" w:type="dxa"/>
            <w:hideMark/>
          </w:tcPr>
          <w:p w:rsidR="00ED12A8" w:rsidRPr="0045227B" w:rsidRDefault="00555858">
            <w:pPr>
              <w:rPr>
                <w:rFonts w:eastAsia="Times New Roman"/>
                <w:sz w:val="18"/>
                <w:szCs w:val="18"/>
              </w:rPr>
            </w:pPr>
            <w:r w:rsidRPr="0045227B">
              <w:rPr>
                <w:rStyle w:val="simple"/>
                <w:rFonts w:eastAsia="Times New Roman"/>
                <w:sz w:val="18"/>
                <w:szCs w:val="18"/>
              </w:rPr>
              <w:t>0.781</w:t>
            </w:r>
          </w:p>
        </w:tc>
      </w:tr>
      <w:tr w:rsidR="0045227B" w:rsidRPr="0045227B" w:rsidTr="0045227B">
        <w:trPr>
          <w:tblHeader/>
          <w:jc w:val="center"/>
        </w:trPr>
        <w:tc>
          <w:tcPr>
            <w:tcW w:w="3377" w:type="dxa"/>
            <w:hideMark/>
          </w:tcPr>
          <w:p w:rsidR="00ED12A8" w:rsidRPr="0045227B" w:rsidRDefault="00555858">
            <w:pPr>
              <w:rPr>
                <w:rFonts w:eastAsia="Times New Roman"/>
                <w:sz w:val="18"/>
                <w:szCs w:val="18"/>
              </w:rPr>
            </w:pPr>
            <w:r w:rsidRPr="0045227B">
              <w:rPr>
                <w:rStyle w:val="simple"/>
                <w:rFonts w:eastAsia="Times New Roman"/>
                <w:sz w:val="18"/>
                <w:szCs w:val="18"/>
              </w:rPr>
              <w:t>Age</w:t>
            </w:r>
          </w:p>
        </w:tc>
        <w:tc>
          <w:tcPr>
            <w:tcW w:w="688" w:type="dxa"/>
            <w:hideMark/>
          </w:tcPr>
          <w:p w:rsidR="00ED12A8" w:rsidRPr="0045227B" w:rsidRDefault="00555858">
            <w:pPr>
              <w:rPr>
                <w:rFonts w:eastAsia="Times New Roman"/>
                <w:sz w:val="18"/>
                <w:szCs w:val="18"/>
              </w:rPr>
            </w:pPr>
            <w:r w:rsidRPr="0045227B">
              <w:rPr>
                <w:rStyle w:val="simple"/>
                <w:rFonts w:eastAsia="Times New Roman"/>
                <w:sz w:val="18"/>
                <w:szCs w:val="18"/>
              </w:rPr>
              <w:t>1.01</w:t>
            </w:r>
          </w:p>
        </w:tc>
        <w:tc>
          <w:tcPr>
            <w:tcW w:w="1029" w:type="dxa"/>
            <w:hideMark/>
          </w:tcPr>
          <w:p w:rsidR="00ED12A8" w:rsidRPr="0045227B" w:rsidRDefault="00555858">
            <w:pPr>
              <w:rPr>
                <w:rFonts w:eastAsia="Times New Roman"/>
                <w:sz w:val="18"/>
                <w:szCs w:val="18"/>
              </w:rPr>
            </w:pPr>
            <w:r w:rsidRPr="0045227B">
              <w:rPr>
                <w:rStyle w:val="simple"/>
                <w:rFonts w:eastAsia="Times New Roman"/>
                <w:sz w:val="18"/>
                <w:szCs w:val="18"/>
              </w:rPr>
              <w:t>0.97-1.05</w:t>
            </w:r>
          </w:p>
        </w:tc>
        <w:tc>
          <w:tcPr>
            <w:tcW w:w="761" w:type="dxa"/>
            <w:hideMark/>
          </w:tcPr>
          <w:p w:rsidR="00ED12A8" w:rsidRPr="0045227B" w:rsidRDefault="00555858">
            <w:pPr>
              <w:rPr>
                <w:rFonts w:eastAsia="Times New Roman"/>
                <w:sz w:val="18"/>
                <w:szCs w:val="18"/>
              </w:rPr>
            </w:pPr>
            <w:r w:rsidRPr="0045227B">
              <w:rPr>
                <w:rStyle w:val="simple"/>
                <w:rFonts w:eastAsia="Times New Roman"/>
                <w:sz w:val="18"/>
                <w:szCs w:val="18"/>
              </w:rPr>
              <w:t>0.743</w:t>
            </w:r>
          </w:p>
        </w:tc>
        <w:tc>
          <w:tcPr>
            <w:tcW w:w="657" w:type="dxa"/>
            <w:hideMark/>
          </w:tcPr>
          <w:p w:rsidR="00ED12A8" w:rsidRPr="0045227B" w:rsidRDefault="00ED12A8">
            <w:pPr>
              <w:rPr>
                <w:rFonts w:eastAsia="Times New Roman"/>
                <w:sz w:val="18"/>
                <w:szCs w:val="18"/>
              </w:rPr>
            </w:pPr>
          </w:p>
        </w:tc>
        <w:tc>
          <w:tcPr>
            <w:tcW w:w="1228" w:type="dxa"/>
            <w:hideMark/>
          </w:tcPr>
          <w:p w:rsidR="00ED12A8" w:rsidRPr="0045227B" w:rsidRDefault="00ED12A8">
            <w:pPr>
              <w:rPr>
                <w:rFonts w:eastAsia="Times New Roman"/>
                <w:sz w:val="18"/>
                <w:szCs w:val="18"/>
              </w:rPr>
            </w:pPr>
          </w:p>
        </w:tc>
        <w:tc>
          <w:tcPr>
            <w:tcW w:w="909" w:type="dxa"/>
            <w:hideMark/>
          </w:tcPr>
          <w:p w:rsidR="00ED12A8" w:rsidRPr="0045227B" w:rsidRDefault="00ED12A8">
            <w:pPr>
              <w:rPr>
                <w:rFonts w:eastAsia="Times New Roman"/>
                <w:sz w:val="18"/>
                <w:szCs w:val="18"/>
              </w:rPr>
            </w:pPr>
          </w:p>
        </w:tc>
        <w:tc>
          <w:tcPr>
            <w:tcW w:w="525" w:type="dxa"/>
            <w:hideMark/>
          </w:tcPr>
          <w:p w:rsidR="00ED12A8" w:rsidRPr="0045227B" w:rsidRDefault="00ED12A8">
            <w:pPr>
              <w:rPr>
                <w:rFonts w:eastAsia="Times New Roman"/>
                <w:sz w:val="18"/>
                <w:szCs w:val="18"/>
              </w:rPr>
            </w:pPr>
          </w:p>
        </w:tc>
        <w:tc>
          <w:tcPr>
            <w:tcW w:w="1229" w:type="dxa"/>
            <w:hideMark/>
          </w:tcPr>
          <w:p w:rsidR="00ED12A8" w:rsidRPr="0045227B" w:rsidRDefault="00ED12A8">
            <w:pPr>
              <w:rPr>
                <w:rFonts w:eastAsia="Times New Roman"/>
                <w:sz w:val="18"/>
                <w:szCs w:val="18"/>
              </w:rPr>
            </w:pPr>
          </w:p>
        </w:tc>
        <w:tc>
          <w:tcPr>
            <w:tcW w:w="913" w:type="dxa"/>
            <w:hideMark/>
          </w:tcPr>
          <w:p w:rsidR="00ED12A8" w:rsidRPr="0045227B" w:rsidRDefault="00ED12A8">
            <w:pPr>
              <w:rPr>
                <w:rFonts w:eastAsia="Times New Roman"/>
                <w:sz w:val="18"/>
                <w:szCs w:val="18"/>
              </w:rPr>
            </w:pPr>
          </w:p>
        </w:tc>
        <w:tc>
          <w:tcPr>
            <w:tcW w:w="554" w:type="dxa"/>
            <w:hideMark/>
          </w:tcPr>
          <w:p w:rsidR="00ED12A8" w:rsidRPr="0045227B" w:rsidRDefault="00ED12A8">
            <w:pPr>
              <w:rPr>
                <w:rFonts w:eastAsia="Times New Roman"/>
                <w:sz w:val="18"/>
                <w:szCs w:val="18"/>
              </w:rPr>
            </w:pPr>
          </w:p>
        </w:tc>
        <w:tc>
          <w:tcPr>
            <w:tcW w:w="1152" w:type="dxa"/>
            <w:hideMark/>
          </w:tcPr>
          <w:p w:rsidR="00ED12A8" w:rsidRPr="0045227B" w:rsidRDefault="00ED12A8">
            <w:pPr>
              <w:rPr>
                <w:rFonts w:eastAsia="Times New Roman"/>
                <w:sz w:val="18"/>
                <w:szCs w:val="18"/>
              </w:rPr>
            </w:pPr>
          </w:p>
        </w:tc>
        <w:tc>
          <w:tcPr>
            <w:tcW w:w="962" w:type="dxa"/>
            <w:hideMark/>
          </w:tcPr>
          <w:p w:rsidR="00ED12A8" w:rsidRPr="0045227B" w:rsidRDefault="00ED12A8">
            <w:pPr>
              <w:rPr>
                <w:rFonts w:eastAsia="Times New Roman"/>
                <w:sz w:val="18"/>
                <w:szCs w:val="18"/>
              </w:rPr>
            </w:pPr>
          </w:p>
        </w:tc>
      </w:tr>
      <w:tr w:rsidR="0045227B" w:rsidRPr="0045227B" w:rsidTr="0045227B">
        <w:trPr>
          <w:tblHeader/>
          <w:jc w:val="center"/>
        </w:trPr>
        <w:tc>
          <w:tcPr>
            <w:tcW w:w="3377" w:type="dxa"/>
            <w:hideMark/>
          </w:tcPr>
          <w:p w:rsidR="00ED12A8" w:rsidRPr="0045227B" w:rsidRDefault="00555858">
            <w:pPr>
              <w:rPr>
                <w:rFonts w:eastAsia="Times New Roman"/>
                <w:sz w:val="18"/>
                <w:szCs w:val="18"/>
              </w:rPr>
            </w:pPr>
            <w:r w:rsidRPr="0045227B">
              <w:rPr>
                <w:rStyle w:val="simple"/>
                <w:rFonts w:eastAsia="Times New Roman"/>
                <w:sz w:val="18"/>
                <w:szCs w:val="18"/>
              </w:rPr>
              <w:t xml:space="preserve">Single parenthood </w:t>
            </w:r>
            <w:r w:rsidRPr="0045227B">
              <w:rPr>
                <w:rStyle w:val="simple"/>
                <w:rFonts w:eastAsia="Times New Roman"/>
                <w:sz w:val="18"/>
                <w:szCs w:val="18"/>
                <w:vertAlign w:val="superscript"/>
              </w:rPr>
              <w:t>1</w:t>
            </w:r>
          </w:p>
        </w:tc>
        <w:tc>
          <w:tcPr>
            <w:tcW w:w="688" w:type="dxa"/>
            <w:hideMark/>
          </w:tcPr>
          <w:p w:rsidR="00ED12A8" w:rsidRPr="0045227B" w:rsidRDefault="00555858">
            <w:pPr>
              <w:rPr>
                <w:rFonts w:eastAsia="Times New Roman"/>
                <w:sz w:val="18"/>
                <w:szCs w:val="18"/>
              </w:rPr>
            </w:pPr>
            <w:r w:rsidRPr="0045227B">
              <w:rPr>
                <w:rStyle w:val="simple"/>
                <w:rFonts w:eastAsia="Times New Roman"/>
                <w:sz w:val="18"/>
                <w:szCs w:val="18"/>
              </w:rPr>
              <w:t>2.75</w:t>
            </w:r>
          </w:p>
        </w:tc>
        <w:tc>
          <w:tcPr>
            <w:tcW w:w="1029" w:type="dxa"/>
            <w:hideMark/>
          </w:tcPr>
          <w:p w:rsidR="00ED12A8" w:rsidRPr="0045227B" w:rsidRDefault="00555858">
            <w:pPr>
              <w:rPr>
                <w:rFonts w:eastAsia="Times New Roman"/>
                <w:sz w:val="18"/>
                <w:szCs w:val="18"/>
              </w:rPr>
            </w:pPr>
            <w:r w:rsidRPr="0045227B">
              <w:rPr>
                <w:rStyle w:val="simple"/>
                <w:rFonts w:eastAsia="Times New Roman"/>
                <w:sz w:val="18"/>
                <w:szCs w:val="18"/>
              </w:rPr>
              <w:t>1.33-5.71)</w:t>
            </w:r>
          </w:p>
        </w:tc>
        <w:tc>
          <w:tcPr>
            <w:tcW w:w="761" w:type="dxa"/>
            <w:hideMark/>
          </w:tcPr>
          <w:p w:rsidR="00ED12A8" w:rsidRPr="0045227B" w:rsidRDefault="00555858">
            <w:pPr>
              <w:rPr>
                <w:rFonts w:eastAsia="Times New Roman"/>
                <w:sz w:val="18"/>
                <w:szCs w:val="18"/>
              </w:rPr>
            </w:pPr>
            <w:r w:rsidRPr="0045227B">
              <w:rPr>
                <w:rStyle w:val="simple"/>
                <w:rFonts w:eastAsia="Times New Roman"/>
                <w:sz w:val="18"/>
                <w:szCs w:val="18"/>
              </w:rPr>
              <w:t>0.007</w:t>
            </w:r>
          </w:p>
        </w:tc>
        <w:tc>
          <w:tcPr>
            <w:tcW w:w="657" w:type="dxa"/>
            <w:hideMark/>
          </w:tcPr>
          <w:p w:rsidR="00ED12A8" w:rsidRPr="0045227B" w:rsidRDefault="00555858">
            <w:pPr>
              <w:rPr>
                <w:rFonts w:eastAsia="Times New Roman"/>
                <w:sz w:val="18"/>
                <w:szCs w:val="18"/>
              </w:rPr>
            </w:pPr>
            <w:r w:rsidRPr="0045227B">
              <w:rPr>
                <w:rStyle w:val="simple"/>
                <w:rFonts w:eastAsia="Times New Roman"/>
                <w:sz w:val="18"/>
                <w:szCs w:val="18"/>
              </w:rPr>
              <w:t>2.91</w:t>
            </w:r>
          </w:p>
        </w:tc>
        <w:tc>
          <w:tcPr>
            <w:tcW w:w="1228" w:type="dxa"/>
            <w:hideMark/>
          </w:tcPr>
          <w:p w:rsidR="00ED12A8" w:rsidRPr="0045227B" w:rsidRDefault="00555858">
            <w:pPr>
              <w:rPr>
                <w:rFonts w:eastAsia="Times New Roman"/>
                <w:sz w:val="18"/>
                <w:szCs w:val="18"/>
              </w:rPr>
            </w:pPr>
            <w:r w:rsidRPr="0045227B">
              <w:rPr>
                <w:rStyle w:val="simple"/>
                <w:rFonts w:eastAsia="Times New Roman"/>
                <w:sz w:val="18"/>
                <w:szCs w:val="18"/>
              </w:rPr>
              <w:t>1.035-8.18</w:t>
            </w:r>
          </w:p>
        </w:tc>
        <w:tc>
          <w:tcPr>
            <w:tcW w:w="909" w:type="dxa"/>
            <w:hideMark/>
          </w:tcPr>
          <w:p w:rsidR="00ED12A8" w:rsidRPr="0045227B" w:rsidRDefault="00555858">
            <w:pPr>
              <w:rPr>
                <w:rFonts w:eastAsia="Times New Roman"/>
                <w:sz w:val="18"/>
                <w:szCs w:val="18"/>
              </w:rPr>
            </w:pPr>
            <w:r w:rsidRPr="0045227B">
              <w:rPr>
                <w:rStyle w:val="simple"/>
                <w:rFonts w:eastAsia="Times New Roman"/>
                <w:sz w:val="18"/>
                <w:szCs w:val="18"/>
              </w:rPr>
              <w:t>0.043</w:t>
            </w:r>
          </w:p>
        </w:tc>
        <w:tc>
          <w:tcPr>
            <w:tcW w:w="525" w:type="dxa"/>
            <w:hideMark/>
          </w:tcPr>
          <w:p w:rsidR="00ED12A8" w:rsidRPr="0045227B" w:rsidRDefault="00555858">
            <w:pPr>
              <w:rPr>
                <w:rFonts w:eastAsia="Times New Roman"/>
                <w:sz w:val="18"/>
                <w:szCs w:val="18"/>
              </w:rPr>
            </w:pPr>
            <w:r w:rsidRPr="0045227B">
              <w:rPr>
                <w:rStyle w:val="simple"/>
                <w:rFonts w:eastAsia="Times New Roman"/>
                <w:sz w:val="18"/>
                <w:szCs w:val="18"/>
              </w:rPr>
              <w:t>2.74</w:t>
            </w:r>
          </w:p>
        </w:tc>
        <w:tc>
          <w:tcPr>
            <w:tcW w:w="1229" w:type="dxa"/>
            <w:hideMark/>
          </w:tcPr>
          <w:p w:rsidR="00ED12A8" w:rsidRPr="0045227B" w:rsidRDefault="00555858">
            <w:pPr>
              <w:rPr>
                <w:rFonts w:eastAsia="Times New Roman"/>
                <w:sz w:val="18"/>
                <w:szCs w:val="18"/>
              </w:rPr>
            </w:pPr>
            <w:r w:rsidRPr="0045227B">
              <w:rPr>
                <w:rStyle w:val="simple"/>
                <w:rFonts w:eastAsia="Times New Roman"/>
                <w:sz w:val="18"/>
                <w:szCs w:val="18"/>
              </w:rPr>
              <w:t>0.96-7.84</w:t>
            </w:r>
          </w:p>
        </w:tc>
        <w:tc>
          <w:tcPr>
            <w:tcW w:w="913" w:type="dxa"/>
            <w:hideMark/>
          </w:tcPr>
          <w:p w:rsidR="00ED12A8" w:rsidRPr="0045227B" w:rsidRDefault="00555858">
            <w:pPr>
              <w:rPr>
                <w:rFonts w:eastAsia="Times New Roman"/>
                <w:sz w:val="18"/>
                <w:szCs w:val="18"/>
              </w:rPr>
            </w:pPr>
            <w:r w:rsidRPr="0045227B">
              <w:rPr>
                <w:rStyle w:val="simple"/>
                <w:rFonts w:eastAsia="Times New Roman"/>
                <w:sz w:val="18"/>
                <w:szCs w:val="18"/>
              </w:rPr>
              <w:t>0.060</w:t>
            </w:r>
          </w:p>
        </w:tc>
        <w:tc>
          <w:tcPr>
            <w:tcW w:w="554" w:type="dxa"/>
            <w:hideMark/>
          </w:tcPr>
          <w:p w:rsidR="00ED12A8" w:rsidRPr="0045227B" w:rsidRDefault="00555858">
            <w:pPr>
              <w:rPr>
                <w:rFonts w:eastAsia="Times New Roman"/>
                <w:sz w:val="18"/>
                <w:szCs w:val="18"/>
              </w:rPr>
            </w:pPr>
            <w:r w:rsidRPr="0045227B">
              <w:rPr>
                <w:rStyle w:val="simple"/>
                <w:rFonts w:eastAsia="Times New Roman"/>
                <w:sz w:val="18"/>
                <w:szCs w:val="18"/>
              </w:rPr>
              <w:t>2.05</w:t>
            </w:r>
          </w:p>
        </w:tc>
        <w:tc>
          <w:tcPr>
            <w:tcW w:w="1152" w:type="dxa"/>
            <w:hideMark/>
          </w:tcPr>
          <w:p w:rsidR="00ED12A8" w:rsidRPr="0045227B" w:rsidRDefault="00555858">
            <w:pPr>
              <w:rPr>
                <w:rFonts w:eastAsia="Times New Roman"/>
                <w:sz w:val="18"/>
                <w:szCs w:val="18"/>
              </w:rPr>
            </w:pPr>
            <w:r w:rsidRPr="0045227B">
              <w:rPr>
                <w:rStyle w:val="simple"/>
                <w:rFonts w:eastAsia="Times New Roman"/>
                <w:sz w:val="18"/>
                <w:szCs w:val="18"/>
              </w:rPr>
              <w:t>0.79-5.36</w:t>
            </w:r>
          </w:p>
        </w:tc>
        <w:tc>
          <w:tcPr>
            <w:tcW w:w="962" w:type="dxa"/>
            <w:hideMark/>
          </w:tcPr>
          <w:p w:rsidR="00ED12A8" w:rsidRPr="0045227B" w:rsidRDefault="00555858">
            <w:pPr>
              <w:rPr>
                <w:rFonts w:eastAsia="Times New Roman"/>
                <w:sz w:val="18"/>
                <w:szCs w:val="18"/>
              </w:rPr>
            </w:pPr>
            <w:r w:rsidRPr="0045227B">
              <w:rPr>
                <w:rStyle w:val="simple"/>
                <w:rFonts w:eastAsia="Times New Roman"/>
                <w:sz w:val="18"/>
                <w:szCs w:val="18"/>
              </w:rPr>
              <w:t>0.143</w:t>
            </w:r>
          </w:p>
        </w:tc>
      </w:tr>
      <w:tr w:rsidR="00ED12A8" w:rsidRPr="0045227B" w:rsidTr="0045227B">
        <w:trPr>
          <w:tblHeader/>
          <w:jc w:val="center"/>
        </w:trPr>
        <w:tc>
          <w:tcPr>
            <w:tcW w:w="13984" w:type="dxa"/>
            <w:gridSpan w:val="13"/>
            <w:hideMark/>
          </w:tcPr>
          <w:p w:rsidR="00ED12A8" w:rsidRPr="0045227B" w:rsidRDefault="00555858">
            <w:pPr>
              <w:rPr>
                <w:rFonts w:eastAsia="Times New Roman"/>
                <w:sz w:val="18"/>
                <w:szCs w:val="18"/>
              </w:rPr>
            </w:pPr>
            <w:r w:rsidRPr="0045227B">
              <w:rPr>
                <w:rStyle w:val="simple"/>
                <w:rFonts w:eastAsia="Times New Roman"/>
                <w:sz w:val="18"/>
                <w:szCs w:val="18"/>
              </w:rPr>
              <w:t>Adverse life events</w:t>
            </w:r>
          </w:p>
        </w:tc>
      </w:tr>
      <w:tr w:rsidR="00ED12A8" w:rsidRPr="0045227B" w:rsidTr="0045227B">
        <w:trPr>
          <w:tblHeader/>
          <w:jc w:val="center"/>
        </w:trPr>
        <w:tc>
          <w:tcPr>
            <w:tcW w:w="13984" w:type="dxa"/>
            <w:gridSpan w:val="13"/>
            <w:hideMark/>
          </w:tcPr>
          <w:p w:rsidR="00ED12A8" w:rsidRPr="0045227B" w:rsidRDefault="00555858">
            <w:pPr>
              <w:rPr>
                <w:rFonts w:eastAsia="Times New Roman"/>
                <w:sz w:val="18"/>
                <w:szCs w:val="18"/>
              </w:rPr>
            </w:pPr>
            <w:r w:rsidRPr="0045227B">
              <w:rPr>
                <w:rStyle w:val="simple"/>
                <w:rFonts w:eastAsia="Times New Roman"/>
                <w:sz w:val="18"/>
                <w:szCs w:val="18"/>
              </w:rPr>
              <w:t>     (0-1 ref)</w:t>
            </w:r>
          </w:p>
        </w:tc>
      </w:tr>
      <w:tr w:rsidR="0045227B" w:rsidRPr="0045227B" w:rsidTr="0045227B">
        <w:trPr>
          <w:tblHeader/>
          <w:jc w:val="center"/>
        </w:trPr>
        <w:tc>
          <w:tcPr>
            <w:tcW w:w="3377" w:type="dxa"/>
            <w:hideMark/>
          </w:tcPr>
          <w:p w:rsidR="00ED12A8" w:rsidRPr="0045227B" w:rsidRDefault="00555858">
            <w:pPr>
              <w:rPr>
                <w:rFonts w:eastAsia="Times New Roman"/>
                <w:sz w:val="18"/>
                <w:szCs w:val="18"/>
              </w:rPr>
            </w:pPr>
            <w:r w:rsidRPr="0045227B">
              <w:rPr>
                <w:rStyle w:val="simple"/>
                <w:rFonts w:eastAsia="Times New Roman"/>
                <w:sz w:val="18"/>
                <w:szCs w:val="18"/>
              </w:rPr>
              <w:t>     2</w:t>
            </w:r>
          </w:p>
        </w:tc>
        <w:tc>
          <w:tcPr>
            <w:tcW w:w="688" w:type="dxa"/>
            <w:hideMark/>
          </w:tcPr>
          <w:p w:rsidR="00ED12A8" w:rsidRPr="0045227B" w:rsidRDefault="00555858">
            <w:pPr>
              <w:rPr>
                <w:rFonts w:eastAsia="Times New Roman"/>
                <w:sz w:val="18"/>
                <w:szCs w:val="18"/>
              </w:rPr>
            </w:pPr>
            <w:r w:rsidRPr="0045227B">
              <w:rPr>
                <w:rStyle w:val="simple"/>
                <w:rFonts w:eastAsia="Times New Roman"/>
                <w:sz w:val="18"/>
                <w:szCs w:val="18"/>
              </w:rPr>
              <w:t>1.91</w:t>
            </w:r>
          </w:p>
        </w:tc>
        <w:tc>
          <w:tcPr>
            <w:tcW w:w="1029" w:type="dxa"/>
            <w:hideMark/>
          </w:tcPr>
          <w:p w:rsidR="00ED12A8" w:rsidRPr="0045227B" w:rsidRDefault="00555858">
            <w:pPr>
              <w:rPr>
                <w:rFonts w:eastAsia="Times New Roman"/>
                <w:sz w:val="18"/>
                <w:szCs w:val="18"/>
              </w:rPr>
            </w:pPr>
            <w:r w:rsidRPr="0045227B">
              <w:rPr>
                <w:rStyle w:val="simple"/>
                <w:rFonts w:eastAsia="Times New Roman"/>
                <w:sz w:val="18"/>
                <w:szCs w:val="18"/>
              </w:rPr>
              <w:t>1.05-3.46</w:t>
            </w:r>
          </w:p>
        </w:tc>
        <w:tc>
          <w:tcPr>
            <w:tcW w:w="761" w:type="dxa"/>
            <w:hideMark/>
          </w:tcPr>
          <w:p w:rsidR="00ED12A8" w:rsidRPr="0045227B" w:rsidRDefault="00555858">
            <w:pPr>
              <w:rPr>
                <w:rFonts w:eastAsia="Times New Roman"/>
                <w:sz w:val="18"/>
                <w:szCs w:val="18"/>
              </w:rPr>
            </w:pPr>
            <w:r w:rsidRPr="0045227B">
              <w:rPr>
                <w:rStyle w:val="simple"/>
                <w:rFonts w:eastAsia="Times New Roman"/>
                <w:sz w:val="18"/>
                <w:szCs w:val="18"/>
              </w:rPr>
              <w:t>0.033</w:t>
            </w:r>
          </w:p>
        </w:tc>
        <w:tc>
          <w:tcPr>
            <w:tcW w:w="657" w:type="dxa"/>
            <w:hideMark/>
          </w:tcPr>
          <w:p w:rsidR="00ED12A8" w:rsidRPr="0045227B" w:rsidRDefault="00555858">
            <w:pPr>
              <w:rPr>
                <w:rFonts w:eastAsia="Times New Roman"/>
                <w:sz w:val="18"/>
                <w:szCs w:val="18"/>
              </w:rPr>
            </w:pPr>
            <w:r w:rsidRPr="0045227B">
              <w:rPr>
                <w:rStyle w:val="simple"/>
                <w:rFonts w:eastAsia="Times New Roman"/>
                <w:sz w:val="18"/>
                <w:szCs w:val="18"/>
              </w:rPr>
              <w:t>1.54</w:t>
            </w:r>
          </w:p>
        </w:tc>
        <w:tc>
          <w:tcPr>
            <w:tcW w:w="1228" w:type="dxa"/>
            <w:hideMark/>
          </w:tcPr>
          <w:p w:rsidR="00ED12A8" w:rsidRPr="0045227B" w:rsidRDefault="00555858">
            <w:pPr>
              <w:rPr>
                <w:rFonts w:eastAsia="Times New Roman"/>
                <w:sz w:val="18"/>
                <w:szCs w:val="18"/>
              </w:rPr>
            </w:pPr>
            <w:r w:rsidRPr="0045227B">
              <w:rPr>
                <w:rStyle w:val="simple"/>
                <w:rFonts w:eastAsia="Times New Roman"/>
                <w:sz w:val="18"/>
                <w:szCs w:val="18"/>
              </w:rPr>
              <w:t>0.77-3.08</w:t>
            </w:r>
          </w:p>
        </w:tc>
        <w:tc>
          <w:tcPr>
            <w:tcW w:w="909" w:type="dxa"/>
            <w:hideMark/>
          </w:tcPr>
          <w:p w:rsidR="00ED12A8" w:rsidRPr="0045227B" w:rsidRDefault="00555858">
            <w:pPr>
              <w:rPr>
                <w:rFonts w:eastAsia="Times New Roman"/>
                <w:sz w:val="18"/>
                <w:szCs w:val="18"/>
              </w:rPr>
            </w:pPr>
            <w:r w:rsidRPr="0045227B">
              <w:rPr>
                <w:rStyle w:val="simple"/>
                <w:rFonts w:eastAsia="Times New Roman"/>
                <w:sz w:val="18"/>
                <w:szCs w:val="18"/>
              </w:rPr>
              <w:t>0.222</w:t>
            </w:r>
          </w:p>
        </w:tc>
        <w:tc>
          <w:tcPr>
            <w:tcW w:w="525" w:type="dxa"/>
            <w:hideMark/>
          </w:tcPr>
          <w:p w:rsidR="00ED12A8" w:rsidRPr="0045227B" w:rsidRDefault="00555858">
            <w:pPr>
              <w:rPr>
                <w:rFonts w:eastAsia="Times New Roman"/>
                <w:sz w:val="18"/>
                <w:szCs w:val="18"/>
              </w:rPr>
            </w:pPr>
            <w:r w:rsidRPr="0045227B">
              <w:rPr>
                <w:rStyle w:val="simple"/>
                <w:rFonts w:eastAsia="Times New Roman"/>
                <w:sz w:val="18"/>
                <w:szCs w:val="18"/>
              </w:rPr>
              <w:t>1.58</w:t>
            </w:r>
          </w:p>
        </w:tc>
        <w:tc>
          <w:tcPr>
            <w:tcW w:w="1229" w:type="dxa"/>
            <w:hideMark/>
          </w:tcPr>
          <w:p w:rsidR="00ED12A8" w:rsidRPr="0045227B" w:rsidRDefault="00555858">
            <w:pPr>
              <w:rPr>
                <w:rFonts w:eastAsia="Times New Roman"/>
                <w:sz w:val="18"/>
                <w:szCs w:val="18"/>
              </w:rPr>
            </w:pPr>
            <w:r w:rsidRPr="0045227B">
              <w:rPr>
                <w:rStyle w:val="simple"/>
                <w:rFonts w:eastAsia="Times New Roman"/>
                <w:sz w:val="18"/>
                <w:szCs w:val="18"/>
              </w:rPr>
              <w:t>0.79-3.17</w:t>
            </w:r>
          </w:p>
        </w:tc>
        <w:tc>
          <w:tcPr>
            <w:tcW w:w="913" w:type="dxa"/>
            <w:hideMark/>
          </w:tcPr>
          <w:p w:rsidR="00ED12A8" w:rsidRPr="0045227B" w:rsidRDefault="00555858">
            <w:pPr>
              <w:rPr>
                <w:rFonts w:eastAsia="Times New Roman"/>
                <w:sz w:val="18"/>
                <w:szCs w:val="18"/>
              </w:rPr>
            </w:pPr>
            <w:r w:rsidRPr="0045227B">
              <w:rPr>
                <w:rStyle w:val="simple"/>
                <w:rFonts w:eastAsia="Times New Roman"/>
                <w:sz w:val="18"/>
                <w:szCs w:val="18"/>
              </w:rPr>
              <w:t>0.199</w:t>
            </w:r>
          </w:p>
        </w:tc>
        <w:tc>
          <w:tcPr>
            <w:tcW w:w="554" w:type="dxa"/>
            <w:hideMark/>
          </w:tcPr>
          <w:p w:rsidR="00ED12A8" w:rsidRPr="0045227B" w:rsidRDefault="00555858">
            <w:pPr>
              <w:rPr>
                <w:rFonts w:eastAsia="Times New Roman"/>
                <w:sz w:val="18"/>
                <w:szCs w:val="18"/>
              </w:rPr>
            </w:pPr>
            <w:r w:rsidRPr="0045227B">
              <w:rPr>
                <w:rStyle w:val="simple"/>
                <w:rFonts w:eastAsia="Times New Roman"/>
                <w:sz w:val="18"/>
                <w:szCs w:val="18"/>
              </w:rPr>
              <w:t>1.64</w:t>
            </w:r>
          </w:p>
        </w:tc>
        <w:tc>
          <w:tcPr>
            <w:tcW w:w="1152" w:type="dxa"/>
            <w:hideMark/>
          </w:tcPr>
          <w:p w:rsidR="00ED12A8" w:rsidRPr="0045227B" w:rsidRDefault="00555858">
            <w:pPr>
              <w:rPr>
                <w:rFonts w:eastAsia="Times New Roman"/>
                <w:sz w:val="18"/>
                <w:szCs w:val="18"/>
              </w:rPr>
            </w:pPr>
            <w:r w:rsidRPr="0045227B">
              <w:rPr>
                <w:rStyle w:val="simple"/>
                <w:rFonts w:eastAsia="Times New Roman"/>
                <w:sz w:val="18"/>
                <w:szCs w:val="18"/>
              </w:rPr>
              <w:t>0.82-3.27</w:t>
            </w:r>
          </w:p>
        </w:tc>
        <w:tc>
          <w:tcPr>
            <w:tcW w:w="962" w:type="dxa"/>
            <w:hideMark/>
          </w:tcPr>
          <w:p w:rsidR="00ED12A8" w:rsidRPr="0045227B" w:rsidRDefault="00555858">
            <w:pPr>
              <w:rPr>
                <w:rFonts w:eastAsia="Times New Roman"/>
                <w:sz w:val="18"/>
                <w:szCs w:val="18"/>
              </w:rPr>
            </w:pPr>
            <w:r w:rsidRPr="0045227B">
              <w:rPr>
                <w:rStyle w:val="simple"/>
                <w:rFonts w:eastAsia="Times New Roman"/>
                <w:sz w:val="18"/>
                <w:szCs w:val="18"/>
              </w:rPr>
              <w:t>0.161</w:t>
            </w:r>
          </w:p>
        </w:tc>
      </w:tr>
      <w:tr w:rsidR="0045227B" w:rsidRPr="0045227B" w:rsidTr="0045227B">
        <w:trPr>
          <w:tblHeader/>
          <w:jc w:val="center"/>
        </w:trPr>
        <w:tc>
          <w:tcPr>
            <w:tcW w:w="3377" w:type="dxa"/>
            <w:hideMark/>
          </w:tcPr>
          <w:p w:rsidR="00ED12A8" w:rsidRPr="0045227B" w:rsidRDefault="00555858">
            <w:pPr>
              <w:rPr>
                <w:rFonts w:eastAsia="Times New Roman"/>
                <w:sz w:val="18"/>
                <w:szCs w:val="18"/>
              </w:rPr>
            </w:pPr>
            <w:r w:rsidRPr="0045227B">
              <w:rPr>
                <w:rStyle w:val="simple"/>
                <w:rFonts w:eastAsia="Times New Roman"/>
                <w:sz w:val="18"/>
                <w:szCs w:val="18"/>
              </w:rPr>
              <w:t>     ≥3</w:t>
            </w:r>
          </w:p>
        </w:tc>
        <w:tc>
          <w:tcPr>
            <w:tcW w:w="688" w:type="dxa"/>
            <w:hideMark/>
          </w:tcPr>
          <w:p w:rsidR="00ED12A8" w:rsidRPr="0045227B" w:rsidRDefault="00555858">
            <w:pPr>
              <w:rPr>
                <w:rFonts w:eastAsia="Times New Roman"/>
                <w:sz w:val="18"/>
                <w:szCs w:val="18"/>
              </w:rPr>
            </w:pPr>
            <w:r w:rsidRPr="0045227B">
              <w:rPr>
                <w:rStyle w:val="simple"/>
                <w:rFonts w:eastAsia="Times New Roman"/>
                <w:sz w:val="18"/>
                <w:szCs w:val="18"/>
              </w:rPr>
              <w:t>6.22</w:t>
            </w:r>
          </w:p>
        </w:tc>
        <w:tc>
          <w:tcPr>
            <w:tcW w:w="1029" w:type="dxa"/>
            <w:hideMark/>
          </w:tcPr>
          <w:p w:rsidR="00ED12A8" w:rsidRPr="0045227B" w:rsidRDefault="00555858">
            <w:pPr>
              <w:rPr>
                <w:rFonts w:eastAsia="Times New Roman"/>
                <w:sz w:val="18"/>
                <w:szCs w:val="18"/>
              </w:rPr>
            </w:pPr>
            <w:r w:rsidRPr="0045227B">
              <w:rPr>
                <w:rStyle w:val="simple"/>
                <w:rFonts w:eastAsia="Times New Roman"/>
                <w:sz w:val="18"/>
                <w:szCs w:val="18"/>
              </w:rPr>
              <w:t>3.46-11.18</w:t>
            </w:r>
          </w:p>
        </w:tc>
        <w:tc>
          <w:tcPr>
            <w:tcW w:w="761" w:type="dxa"/>
            <w:hideMark/>
          </w:tcPr>
          <w:p w:rsidR="00ED12A8" w:rsidRPr="0045227B" w:rsidRDefault="00555858">
            <w:pPr>
              <w:rPr>
                <w:rFonts w:eastAsia="Times New Roman"/>
                <w:sz w:val="18"/>
                <w:szCs w:val="18"/>
              </w:rPr>
            </w:pPr>
            <w:r w:rsidRPr="0045227B">
              <w:rPr>
                <w:rStyle w:val="simple"/>
                <w:rFonts w:eastAsia="Times New Roman"/>
                <w:sz w:val="18"/>
                <w:szCs w:val="18"/>
              </w:rPr>
              <w:t>&lt;0.001</w:t>
            </w:r>
          </w:p>
        </w:tc>
        <w:tc>
          <w:tcPr>
            <w:tcW w:w="657" w:type="dxa"/>
            <w:hideMark/>
          </w:tcPr>
          <w:p w:rsidR="00ED12A8" w:rsidRPr="0045227B" w:rsidRDefault="00555858">
            <w:pPr>
              <w:rPr>
                <w:rFonts w:eastAsia="Times New Roman"/>
                <w:sz w:val="18"/>
                <w:szCs w:val="18"/>
              </w:rPr>
            </w:pPr>
            <w:r w:rsidRPr="0045227B">
              <w:rPr>
                <w:rStyle w:val="simple"/>
                <w:rFonts w:eastAsia="Times New Roman"/>
                <w:sz w:val="18"/>
                <w:szCs w:val="18"/>
              </w:rPr>
              <w:t>4.97</w:t>
            </w:r>
          </w:p>
        </w:tc>
        <w:tc>
          <w:tcPr>
            <w:tcW w:w="1228" w:type="dxa"/>
            <w:hideMark/>
          </w:tcPr>
          <w:p w:rsidR="00ED12A8" w:rsidRPr="0045227B" w:rsidRDefault="00555858">
            <w:pPr>
              <w:rPr>
                <w:rFonts w:eastAsia="Times New Roman"/>
                <w:sz w:val="18"/>
                <w:szCs w:val="18"/>
              </w:rPr>
            </w:pPr>
            <w:r w:rsidRPr="0045227B">
              <w:rPr>
                <w:rStyle w:val="simple"/>
                <w:rFonts w:eastAsia="Times New Roman"/>
                <w:sz w:val="18"/>
                <w:szCs w:val="18"/>
              </w:rPr>
              <w:t>2.45-10.08</w:t>
            </w:r>
          </w:p>
        </w:tc>
        <w:tc>
          <w:tcPr>
            <w:tcW w:w="909" w:type="dxa"/>
            <w:hideMark/>
          </w:tcPr>
          <w:p w:rsidR="00ED12A8" w:rsidRPr="0045227B" w:rsidRDefault="00555858">
            <w:pPr>
              <w:rPr>
                <w:rFonts w:eastAsia="Times New Roman"/>
                <w:sz w:val="18"/>
                <w:szCs w:val="18"/>
              </w:rPr>
            </w:pPr>
            <w:r w:rsidRPr="0045227B">
              <w:rPr>
                <w:rStyle w:val="simple"/>
                <w:rFonts w:eastAsia="Times New Roman"/>
                <w:sz w:val="18"/>
                <w:szCs w:val="18"/>
              </w:rPr>
              <w:t>&lt;0.001</w:t>
            </w:r>
          </w:p>
        </w:tc>
        <w:tc>
          <w:tcPr>
            <w:tcW w:w="525" w:type="dxa"/>
            <w:hideMark/>
          </w:tcPr>
          <w:p w:rsidR="00ED12A8" w:rsidRPr="0045227B" w:rsidRDefault="00555858">
            <w:pPr>
              <w:rPr>
                <w:rFonts w:eastAsia="Times New Roman"/>
                <w:sz w:val="18"/>
                <w:szCs w:val="18"/>
              </w:rPr>
            </w:pPr>
            <w:r w:rsidRPr="0045227B">
              <w:rPr>
                <w:rStyle w:val="simple"/>
                <w:rFonts w:eastAsia="Times New Roman"/>
                <w:sz w:val="18"/>
                <w:szCs w:val="18"/>
              </w:rPr>
              <w:t>4.95</w:t>
            </w:r>
          </w:p>
        </w:tc>
        <w:tc>
          <w:tcPr>
            <w:tcW w:w="1229" w:type="dxa"/>
            <w:hideMark/>
          </w:tcPr>
          <w:p w:rsidR="00ED12A8" w:rsidRPr="0045227B" w:rsidRDefault="00555858">
            <w:pPr>
              <w:rPr>
                <w:rFonts w:eastAsia="Times New Roman"/>
                <w:sz w:val="18"/>
                <w:szCs w:val="18"/>
              </w:rPr>
            </w:pPr>
            <w:r w:rsidRPr="0045227B">
              <w:rPr>
                <w:rStyle w:val="simple"/>
                <w:rFonts w:eastAsia="Times New Roman"/>
                <w:sz w:val="18"/>
                <w:szCs w:val="18"/>
              </w:rPr>
              <w:t>2.43-10.10</w:t>
            </w:r>
          </w:p>
        </w:tc>
        <w:tc>
          <w:tcPr>
            <w:tcW w:w="913" w:type="dxa"/>
            <w:hideMark/>
          </w:tcPr>
          <w:p w:rsidR="00ED12A8" w:rsidRPr="0045227B" w:rsidRDefault="00555858">
            <w:pPr>
              <w:rPr>
                <w:rFonts w:eastAsia="Times New Roman"/>
                <w:sz w:val="18"/>
                <w:szCs w:val="18"/>
              </w:rPr>
            </w:pPr>
            <w:r w:rsidRPr="0045227B">
              <w:rPr>
                <w:rStyle w:val="simple"/>
                <w:rFonts w:eastAsia="Times New Roman"/>
                <w:sz w:val="18"/>
                <w:szCs w:val="18"/>
              </w:rPr>
              <w:t>&lt;0.001</w:t>
            </w:r>
          </w:p>
        </w:tc>
        <w:tc>
          <w:tcPr>
            <w:tcW w:w="554" w:type="dxa"/>
            <w:hideMark/>
          </w:tcPr>
          <w:p w:rsidR="00ED12A8" w:rsidRPr="0045227B" w:rsidRDefault="00555858">
            <w:pPr>
              <w:rPr>
                <w:rFonts w:eastAsia="Times New Roman"/>
                <w:sz w:val="18"/>
                <w:szCs w:val="18"/>
              </w:rPr>
            </w:pPr>
            <w:r w:rsidRPr="0045227B">
              <w:rPr>
                <w:rStyle w:val="simple"/>
                <w:rFonts w:eastAsia="Times New Roman"/>
                <w:sz w:val="18"/>
                <w:szCs w:val="18"/>
              </w:rPr>
              <w:t>4.83</w:t>
            </w:r>
          </w:p>
        </w:tc>
        <w:tc>
          <w:tcPr>
            <w:tcW w:w="1152" w:type="dxa"/>
            <w:hideMark/>
          </w:tcPr>
          <w:p w:rsidR="00ED12A8" w:rsidRPr="0045227B" w:rsidRDefault="00555858">
            <w:pPr>
              <w:rPr>
                <w:rFonts w:eastAsia="Times New Roman"/>
                <w:sz w:val="18"/>
                <w:szCs w:val="18"/>
              </w:rPr>
            </w:pPr>
            <w:r w:rsidRPr="0045227B">
              <w:rPr>
                <w:rStyle w:val="simple"/>
                <w:rFonts w:eastAsia="Times New Roman"/>
                <w:sz w:val="18"/>
                <w:szCs w:val="18"/>
              </w:rPr>
              <w:t>2.40-9.70</w:t>
            </w:r>
          </w:p>
        </w:tc>
        <w:tc>
          <w:tcPr>
            <w:tcW w:w="962" w:type="dxa"/>
            <w:hideMark/>
          </w:tcPr>
          <w:p w:rsidR="00ED12A8" w:rsidRPr="0045227B" w:rsidRDefault="00555858">
            <w:pPr>
              <w:rPr>
                <w:rFonts w:eastAsia="Times New Roman"/>
                <w:sz w:val="18"/>
                <w:szCs w:val="18"/>
              </w:rPr>
            </w:pPr>
            <w:r w:rsidRPr="0045227B">
              <w:rPr>
                <w:rStyle w:val="simple"/>
                <w:rFonts w:eastAsia="Times New Roman"/>
                <w:sz w:val="18"/>
                <w:szCs w:val="18"/>
              </w:rPr>
              <w:t>&lt;0.001</w:t>
            </w:r>
          </w:p>
        </w:tc>
      </w:tr>
      <w:tr w:rsidR="00ED12A8" w:rsidRPr="0045227B" w:rsidTr="0045227B">
        <w:trPr>
          <w:tblHeader/>
          <w:jc w:val="center"/>
        </w:trPr>
        <w:tc>
          <w:tcPr>
            <w:tcW w:w="13984" w:type="dxa"/>
            <w:gridSpan w:val="13"/>
            <w:hideMark/>
          </w:tcPr>
          <w:p w:rsidR="00ED12A8" w:rsidRPr="0045227B" w:rsidRDefault="00555858">
            <w:pPr>
              <w:rPr>
                <w:rFonts w:eastAsia="Times New Roman"/>
                <w:sz w:val="18"/>
                <w:szCs w:val="18"/>
              </w:rPr>
            </w:pPr>
            <w:r w:rsidRPr="0045227B">
              <w:rPr>
                <w:rStyle w:val="simple"/>
                <w:rFonts w:eastAsia="Times New Roman"/>
                <w:sz w:val="18"/>
                <w:szCs w:val="18"/>
              </w:rPr>
              <w:t>Poor self-reported health</w:t>
            </w:r>
            <w:r w:rsidRPr="0045227B">
              <w:rPr>
                <w:rStyle w:val="simple"/>
                <w:rFonts w:eastAsia="Times New Roman"/>
                <w:sz w:val="18"/>
                <w:szCs w:val="18"/>
                <w:vertAlign w:val="superscript"/>
              </w:rPr>
              <w:t>2</w:t>
            </w:r>
          </w:p>
        </w:tc>
      </w:tr>
      <w:tr w:rsidR="00ED12A8" w:rsidRPr="0045227B" w:rsidTr="0045227B">
        <w:trPr>
          <w:tblHeader/>
          <w:jc w:val="center"/>
        </w:trPr>
        <w:tc>
          <w:tcPr>
            <w:tcW w:w="13984" w:type="dxa"/>
            <w:gridSpan w:val="13"/>
            <w:hideMark/>
          </w:tcPr>
          <w:p w:rsidR="00ED12A8" w:rsidRPr="0045227B" w:rsidRDefault="00555858">
            <w:pPr>
              <w:rPr>
                <w:rFonts w:eastAsia="Times New Roman"/>
                <w:sz w:val="18"/>
                <w:szCs w:val="18"/>
              </w:rPr>
            </w:pPr>
            <w:r w:rsidRPr="0045227B">
              <w:rPr>
                <w:rStyle w:val="simple"/>
                <w:rFonts w:eastAsia="Times New Roman"/>
                <w:sz w:val="18"/>
                <w:szCs w:val="18"/>
              </w:rPr>
              <w:t>     good (ref)</w:t>
            </w:r>
          </w:p>
        </w:tc>
      </w:tr>
      <w:tr w:rsidR="0045227B" w:rsidRPr="0045227B" w:rsidTr="0045227B">
        <w:trPr>
          <w:tblHeader/>
          <w:jc w:val="center"/>
        </w:trPr>
        <w:tc>
          <w:tcPr>
            <w:tcW w:w="3377" w:type="dxa"/>
            <w:hideMark/>
          </w:tcPr>
          <w:p w:rsidR="00ED12A8" w:rsidRPr="0045227B" w:rsidRDefault="00555858">
            <w:pPr>
              <w:rPr>
                <w:rFonts w:eastAsia="Times New Roman"/>
                <w:sz w:val="18"/>
                <w:szCs w:val="18"/>
              </w:rPr>
            </w:pPr>
            <w:r w:rsidRPr="0045227B">
              <w:rPr>
                <w:rStyle w:val="simple"/>
                <w:rFonts w:eastAsia="Times New Roman"/>
                <w:sz w:val="18"/>
                <w:szCs w:val="18"/>
              </w:rPr>
              <w:t>     bad</w:t>
            </w:r>
          </w:p>
        </w:tc>
        <w:tc>
          <w:tcPr>
            <w:tcW w:w="688" w:type="dxa"/>
            <w:hideMark/>
          </w:tcPr>
          <w:p w:rsidR="00ED12A8" w:rsidRPr="0045227B" w:rsidRDefault="00555858">
            <w:pPr>
              <w:rPr>
                <w:rFonts w:eastAsia="Times New Roman"/>
                <w:sz w:val="18"/>
                <w:szCs w:val="18"/>
              </w:rPr>
            </w:pPr>
            <w:r w:rsidRPr="0045227B">
              <w:rPr>
                <w:rStyle w:val="simple"/>
                <w:rFonts w:eastAsia="Times New Roman"/>
                <w:sz w:val="18"/>
                <w:szCs w:val="18"/>
              </w:rPr>
              <w:t>3.28</w:t>
            </w:r>
          </w:p>
        </w:tc>
        <w:tc>
          <w:tcPr>
            <w:tcW w:w="1029" w:type="dxa"/>
            <w:hideMark/>
          </w:tcPr>
          <w:p w:rsidR="00ED12A8" w:rsidRPr="0045227B" w:rsidRDefault="00555858">
            <w:pPr>
              <w:rPr>
                <w:rFonts w:eastAsia="Times New Roman"/>
                <w:sz w:val="18"/>
                <w:szCs w:val="18"/>
              </w:rPr>
            </w:pPr>
            <w:r w:rsidRPr="0045227B">
              <w:rPr>
                <w:rStyle w:val="simple"/>
                <w:rFonts w:eastAsia="Times New Roman"/>
                <w:sz w:val="18"/>
                <w:szCs w:val="18"/>
              </w:rPr>
              <w:t>1.89-5.70</w:t>
            </w:r>
          </w:p>
        </w:tc>
        <w:tc>
          <w:tcPr>
            <w:tcW w:w="761" w:type="dxa"/>
            <w:hideMark/>
          </w:tcPr>
          <w:p w:rsidR="00ED12A8" w:rsidRPr="0045227B" w:rsidRDefault="00555858">
            <w:pPr>
              <w:rPr>
                <w:rFonts w:eastAsia="Times New Roman"/>
                <w:sz w:val="18"/>
                <w:szCs w:val="18"/>
              </w:rPr>
            </w:pPr>
            <w:r w:rsidRPr="0045227B">
              <w:rPr>
                <w:rStyle w:val="simple"/>
                <w:rFonts w:eastAsia="Times New Roman"/>
                <w:sz w:val="18"/>
                <w:szCs w:val="18"/>
              </w:rPr>
              <w:t>&lt;0.001</w:t>
            </w:r>
          </w:p>
        </w:tc>
        <w:tc>
          <w:tcPr>
            <w:tcW w:w="657" w:type="dxa"/>
            <w:hideMark/>
          </w:tcPr>
          <w:p w:rsidR="00ED12A8" w:rsidRPr="0045227B" w:rsidRDefault="00555858">
            <w:pPr>
              <w:rPr>
                <w:rFonts w:eastAsia="Times New Roman"/>
                <w:sz w:val="18"/>
                <w:szCs w:val="18"/>
              </w:rPr>
            </w:pPr>
            <w:r w:rsidRPr="0045227B">
              <w:rPr>
                <w:rStyle w:val="simple"/>
                <w:rFonts w:eastAsia="Times New Roman"/>
                <w:sz w:val="18"/>
                <w:szCs w:val="18"/>
              </w:rPr>
              <w:t>2.00</w:t>
            </w:r>
          </w:p>
        </w:tc>
        <w:tc>
          <w:tcPr>
            <w:tcW w:w="1228" w:type="dxa"/>
            <w:hideMark/>
          </w:tcPr>
          <w:p w:rsidR="00ED12A8" w:rsidRPr="0045227B" w:rsidRDefault="00555858">
            <w:pPr>
              <w:rPr>
                <w:rFonts w:eastAsia="Times New Roman"/>
                <w:sz w:val="18"/>
                <w:szCs w:val="18"/>
              </w:rPr>
            </w:pPr>
            <w:r w:rsidRPr="0045227B">
              <w:rPr>
                <w:rStyle w:val="simple"/>
                <w:rFonts w:eastAsia="Times New Roman"/>
                <w:sz w:val="18"/>
                <w:szCs w:val="18"/>
              </w:rPr>
              <w:t>1.01-3.99</w:t>
            </w:r>
          </w:p>
        </w:tc>
        <w:tc>
          <w:tcPr>
            <w:tcW w:w="909" w:type="dxa"/>
            <w:hideMark/>
          </w:tcPr>
          <w:p w:rsidR="00ED12A8" w:rsidRPr="0045227B" w:rsidRDefault="00555858">
            <w:pPr>
              <w:rPr>
                <w:rFonts w:eastAsia="Times New Roman"/>
                <w:sz w:val="18"/>
                <w:szCs w:val="18"/>
              </w:rPr>
            </w:pPr>
            <w:r w:rsidRPr="0045227B">
              <w:rPr>
                <w:rStyle w:val="simple"/>
                <w:rFonts w:eastAsia="Times New Roman"/>
                <w:sz w:val="18"/>
                <w:szCs w:val="18"/>
              </w:rPr>
              <w:t>0.048</w:t>
            </w:r>
          </w:p>
        </w:tc>
        <w:tc>
          <w:tcPr>
            <w:tcW w:w="525" w:type="dxa"/>
            <w:hideMark/>
          </w:tcPr>
          <w:p w:rsidR="00ED12A8" w:rsidRPr="0045227B" w:rsidRDefault="00555858">
            <w:pPr>
              <w:rPr>
                <w:rFonts w:eastAsia="Times New Roman"/>
                <w:sz w:val="18"/>
                <w:szCs w:val="18"/>
              </w:rPr>
            </w:pPr>
            <w:r w:rsidRPr="0045227B">
              <w:rPr>
                <w:rStyle w:val="simple"/>
                <w:rFonts w:eastAsia="Times New Roman"/>
                <w:sz w:val="18"/>
                <w:szCs w:val="18"/>
              </w:rPr>
              <w:t>2.08</w:t>
            </w:r>
          </w:p>
        </w:tc>
        <w:tc>
          <w:tcPr>
            <w:tcW w:w="1229" w:type="dxa"/>
            <w:hideMark/>
          </w:tcPr>
          <w:p w:rsidR="00ED12A8" w:rsidRPr="0045227B" w:rsidRDefault="00555858">
            <w:pPr>
              <w:rPr>
                <w:rFonts w:eastAsia="Times New Roman"/>
                <w:sz w:val="18"/>
                <w:szCs w:val="18"/>
              </w:rPr>
            </w:pPr>
            <w:r w:rsidRPr="0045227B">
              <w:rPr>
                <w:rStyle w:val="simple"/>
                <w:rFonts w:eastAsia="Times New Roman"/>
                <w:sz w:val="18"/>
                <w:szCs w:val="18"/>
              </w:rPr>
              <w:t>1.04-4.16</w:t>
            </w:r>
          </w:p>
        </w:tc>
        <w:tc>
          <w:tcPr>
            <w:tcW w:w="913" w:type="dxa"/>
            <w:hideMark/>
          </w:tcPr>
          <w:p w:rsidR="00ED12A8" w:rsidRPr="0045227B" w:rsidRDefault="00555858">
            <w:pPr>
              <w:rPr>
                <w:rFonts w:eastAsia="Times New Roman"/>
                <w:sz w:val="18"/>
                <w:szCs w:val="18"/>
              </w:rPr>
            </w:pPr>
            <w:r w:rsidRPr="0045227B">
              <w:rPr>
                <w:rStyle w:val="simple"/>
                <w:rFonts w:eastAsia="Times New Roman"/>
                <w:sz w:val="18"/>
                <w:szCs w:val="18"/>
              </w:rPr>
              <w:t>0.039</w:t>
            </w:r>
          </w:p>
        </w:tc>
        <w:tc>
          <w:tcPr>
            <w:tcW w:w="554" w:type="dxa"/>
            <w:hideMark/>
          </w:tcPr>
          <w:p w:rsidR="00ED12A8" w:rsidRPr="0045227B" w:rsidRDefault="00555858">
            <w:pPr>
              <w:rPr>
                <w:rFonts w:eastAsia="Times New Roman"/>
                <w:sz w:val="18"/>
                <w:szCs w:val="18"/>
              </w:rPr>
            </w:pPr>
            <w:r w:rsidRPr="0045227B">
              <w:rPr>
                <w:rStyle w:val="simple"/>
                <w:rFonts w:eastAsia="Times New Roman"/>
                <w:sz w:val="18"/>
                <w:szCs w:val="18"/>
              </w:rPr>
              <w:t>2.29</w:t>
            </w:r>
          </w:p>
        </w:tc>
        <w:tc>
          <w:tcPr>
            <w:tcW w:w="1152" w:type="dxa"/>
            <w:hideMark/>
          </w:tcPr>
          <w:p w:rsidR="00ED12A8" w:rsidRPr="0045227B" w:rsidRDefault="00555858">
            <w:pPr>
              <w:rPr>
                <w:rFonts w:eastAsia="Times New Roman"/>
                <w:sz w:val="18"/>
                <w:szCs w:val="18"/>
              </w:rPr>
            </w:pPr>
            <w:r w:rsidRPr="0045227B">
              <w:rPr>
                <w:rStyle w:val="simple"/>
                <w:rFonts w:eastAsia="Times New Roman"/>
                <w:sz w:val="18"/>
                <w:szCs w:val="18"/>
              </w:rPr>
              <w:t>1.16-4.48</w:t>
            </w:r>
          </w:p>
        </w:tc>
        <w:tc>
          <w:tcPr>
            <w:tcW w:w="962" w:type="dxa"/>
            <w:hideMark/>
          </w:tcPr>
          <w:p w:rsidR="00ED12A8" w:rsidRPr="0045227B" w:rsidRDefault="00555858">
            <w:pPr>
              <w:rPr>
                <w:rFonts w:eastAsia="Times New Roman"/>
                <w:sz w:val="18"/>
                <w:szCs w:val="18"/>
              </w:rPr>
            </w:pPr>
            <w:r w:rsidRPr="0045227B">
              <w:rPr>
                <w:rStyle w:val="simple"/>
                <w:rFonts w:eastAsia="Times New Roman"/>
                <w:sz w:val="18"/>
                <w:szCs w:val="18"/>
              </w:rPr>
              <w:t>0.016</w:t>
            </w:r>
          </w:p>
        </w:tc>
      </w:tr>
      <w:tr w:rsidR="00ED12A8" w:rsidRPr="0045227B" w:rsidTr="0045227B">
        <w:trPr>
          <w:tblHeader/>
          <w:jc w:val="center"/>
        </w:trPr>
        <w:tc>
          <w:tcPr>
            <w:tcW w:w="13984" w:type="dxa"/>
            <w:gridSpan w:val="13"/>
            <w:hideMark/>
          </w:tcPr>
          <w:p w:rsidR="00ED12A8" w:rsidRPr="0045227B" w:rsidRDefault="00555858">
            <w:pPr>
              <w:rPr>
                <w:rFonts w:eastAsia="Times New Roman"/>
                <w:sz w:val="18"/>
                <w:szCs w:val="18"/>
              </w:rPr>
            </w:pPr>
            <w:r w:rsidRPr="0045227B">
              <w:rPr>
                <w:rStyle w:val="simple"/>
                <w:rFonts w:eastAsia="Times New Roman"/>
                <w:sz w:val="18"/>
                <w:szCs w:val="18"/>
              </w:rPr>
              <w:t>Mother’s socioeconomic position (SEP)</w:t>
            </w:r>
          </w:p>
        </w:tc>
      </w:tr>
      <w:tr w:rsidR="0045227B" w:rsidRPr="0045227B" w:rsidTr="0045227B">
        <w:trPr>
          <w:tblHeader/>
          <w:jc w:val="center"/>
        </w:trPr>
        <w:tc>
          <w:tcPr>
            <w:tcW w:w="3377" w:type="dxa"/>
            <w:hideMark/>
          </w:tcPr>
          <w:p w:rsidR="00ED12A8" w:rsidRPr="0045227B" w:rsidRDefault="00555858">
            <w:pPr>
              <w:rPr>
                <w:rFonts w:eastAsia="Times New Roman"/>
                <w:sz w:val="18"/>
                <w:szCs w:val="18"/>
              </w:rPr>
            </w:pPr>
            <w:r w:rsidRPr="0045227B">
              <w:rPr>
                <w:rStyle w:val="simple"/>
                <w:rFonts w:eastAsia="Times New Roman"/>
                <w:sz w:val="18"/>
                <w:szCs w:val="18"/>
              </w:rPr>
              <w:t>     highest 60% (ref)</w:t>
            </w:r>
          </w:p>
        </w:tc>
        <w:tc>
          <w:tcPr>
            <w:tcW w:w="688" w:type="dxa"/>
            <w:hideMark/>
          </w:tcPr>
          <w:p w:rsidR="00ED12A8" w:rsidRPr="0045227B" w:rsidRDefault="00ED12A8">
            <w:pPr>
              <w:rPr>
                <w:rFonts w:eastAsia="Times New Roman"/>
                <w:sz w:val="18"/>
                <w:szCs w:val="18"/>
              </w:rPr>
            </w:pPr>
          </w:p>
        </w:tc>
        <w:tc>
          <w:tcPr>
            <w:tcW w:w="1029" w:type="dxa"/>
            <w:hideMark/>
          </w:tcPr>
          <w:p w:rsidR="00ED12A8" w:rsidRPr="0045227B" w:rsidRDefault="00ED12A8">
            <w:pPr>
              <w:rPr>
                <w:rFonts w:eastAsia="Times New Roman"/>
                <w:sz w:val="18"/>
                <w:szCs w:val="18"/>
              </w:rPr>
            </w:pPr>
          </w:p>
        </w:tc>
        <w:tc>
          <w:tcPr>
            <w:tcW w:w="761" w:type="dxa"/>
            <w:hideMark/>
          </w:tcPr>
          <w:p w:rsidR="00ED12A8" w:rsidRPr="0045227B" w:rsidRDefault="00ED12A8">
            <w:pPr>
              <w:rPr>
                <w:rFonts w:eastAsia="Times New Roman"/>
                <w:sz w:val="18"/>
                <w:szCs w:val="18"/>
              </w:rPr>
            </w:pPr>
          </w:p>
        </w:tc>
        <w:tc>
          <w:tcPr>
            <w:tcW w:w="657" w:type="dxa"/>
            <w:hideMark/>
          </w:tcPr>
          <w:p w:rsidR="00ED12A8" w:rsidRPr="0045227B" w:rsidRDefault="00ED12A8">
            <w:pPr>
              <w:rPr>
                <w:rFonts w:eastAsia="Times New Roman"/>
                <w:sz w:val="18"/>
                <w:szCs w:val="18"/>
              </w:rPr>
            </w:pPr>
          </w:p>
        </w:tc>
        <w:tc>
          <w:tcPr>
            <w:tcW w:w="1228" w:type="dxa"/>
            <w:hideMark/>
          </w:tcPr>
          <w:p w:rsidR="00ED12A8" w:rsidRPr="0045227B" w:rsidRDefault="00ED12A8">
            <w:pPr>
              <w:rPr>
                <w:rFonts w:eastAsia="Times New Roman"/>
                <w:sz w:val="18"/>
                <w:szCs w:val="18"/>
              </w:rPr>
            </w:pPr>
          </w:p>
        </w:tc>
        <w:tc>
          <w:tcPr>
            <w:tcW w:w="909" w:type="dxa"/>
            <w:hideMark/>
          </w:tcPr>
          <w:p w:rsidR="00ED12A8" w:rsidRPr="0045227B" w:rsidRDefault="00ED12A8">
            <w:pPr>
              <w:rPr>
                <w:rFonts w:eastAsia="Times New Roman"/>
                <w:sz w:val="18"/>
                <w:szCs w:val="18"/>
              </w:rPr>
            </w:pPr>
          </w:p>
        </w:tc>
        <w:tc>
          <w:tcPr>
            <w:tcW w:w="525" w:type="dxa"/>
            <w:hideMark/>
          </w:tcPr>
          <w:p w:rsidR="00ED12A8" w:rsidRPr="0045227B" w:rsidRDefault="00ED12A8">
            <w:pPr>
              <w:rPr>
                <w:rFonts w:eastAsia="Times New Roman"/>
                <w:sz w:val="18"/>
                <w:szCs w:val="18"/>
              </w:rPr>
            </w:pPr>
          </w:p>
        </w:tc>
        <w:tc>
          <w:tcPr>
            <w:tcW w:w="1229" w:type="dxa"/>
            <w:hideMark/>
          </w:tcPr>
          <w:p w:rsidR="00ED12A8" w:rsidRPr="0045227B" w:rsidRDefault="00ED12A8">
            <w:pPr>
              <w:rPr>
                <w:rFonts w:eastAsia="Times New Roman"/>
                <w:sz w:val="18"/>
                <w:szCs w:val="18"/>
              </w:rPr>
            </w:pPr>
          </w:p>
        </w:tc>
        <w:tc>
          <w:tcPr>
            <w:tcW w:w="913" w:type="dxa"/>
            <w:hideMark/>
          </w:tcPr>
          <w:p w:rsidR="00ED12A8" w:rsidRPr="0045227B" w:rsidRDefault="00ED12A8">
            <w:pPr>
              <w:rPr>
                <w:rFonts w:eastAsia="Times New Roman"/>
                <w:sz w:val="18"/>
                <w:szCs w:val="18"/>
              </w:rPr>
            </w:pPr>
          </w:p>
        </w:tc>
        <w:tc>
          <w:tcPr>
            <w:tcW w:w="554" w:type="dxa"/>
            <w:hideMark/>
          </w:tcPr>
          <w:p w:rsidR="00ED12A8" w:rsidRPr="0045227B" w:rsidRDefault="00ED12A8">
            <w:pPr>
              <w:rPr>
                <w:rFonts w:eastAsia="Times New Roman"/>
                <w:sz w:val="18"/>
                <w:szCs w:val="18"/>
              </w:rPr>
            </w:pPr>
          </w:p>
        </w:tc>
        <w:tc>
          <w:tcPr>
            <w:tcW w:w="1152" w:type="dxa"/>
            <w:hideMark/>
          </w:tcPr>
          <w:p w:rsidR="00ED12A8" w:rsidRPr="0045227B" w:rsidRDefault="00ED12A8">
            <w:pPr>
              <w:rPr>
                <w:rFonts w:eastAsia="Times New Roman"/>
                <w:sz w:val="18"/>
                <w:szCs w:val="18"/>
              </w:rPr>
            </w:pPr>
          </w:p>
        </w:tc>
        <w:tc>
          <w:tcPr>
            <w:tcW w:w="962" w:type="dxa"/>
            <w:hideMark/>
          </w:tcPr>
          <w:p w:rsidR="00ED12A8" w:rsidRPr="0045227B" w:rsidRDefault="00ED12A8">
            <w:pPr>
              <w:rPr>
                <w:rFonts w:eastAsia="Times New Roman"/>
                <w:sz w:val="18"/>
                <w:szCs w:val="18"/>
              </w:rPr>
            </w:pPr>
          </w:p>
        </w:tc>
      </w:tr>
      <w:tr w:rsidR="0045227B" w:rsidRPr="0045227B" w:rsidTr="0045227B">
        <w:trPr>
          <w:tblHeader/>
          <w:jc w:val="center"/>
        </w:trPr>
        <w:tc>
          <w:tcPr>
            <w:tcW w:w="3377" w:type="dxa"/>
            <w:hideMark/>
          </w:tcPr>
          <w:p w:rsidR="00ED12A8" w:rsidRPr="0045227B" w:rsidRDefault="00555858">
            <w:pPr>
              <w:rPr>
                <w:rFonts w:eastAsia="Times New Roman"/>
                <w:sz w:val="18"/>
                <w:szCs w:val="18"/>
              </w:rPr>
            </w:pPr>
            <w:r w:rsidRPr="0045227B">
              <w:rPr>
                <w:rStyle w:val="simple"/>
                <w:rFonts w:eastAsia="Times New Roman"/>
                <w:sz w:val="18"/>
                <w:szCs w:val="18"/>
              </w:rPr>
              <w:t>     lowest 40%</w:t>
            </w:r>
          </w:p>
        </w:tc>
        <w:tc>
          <w:tcPr>
            <w:tcW w:w="688" w:type="dxa"/>
            <w:hideMark/>
          </w:tcPr>
          <w:p w:rsidR="00ED12A8" w:rsidRPr="0045227B" w:rsidRDefault="00555858">
            <w:pPr>
              <w:rPr>
                <w:rFonts w:eastAsia="Times New Roman"/>
                <w:sz w:val="18"/>
                <w:szCs w:val="18"/>
              </w:rPr>
            </w:pPr>
            <w:r w:rsidRPr="0045227B">
              <w:rPr>
                <w:rStyle w:val="simple"/>
                <w:rFonts w:eastAsia="Times New Roman"/>
                <w:sz w:val="18"/>
                <w:szCs w:val="18"/>
              </w:rPr>
              <w:t>1.62</w:t>
            </w:r>
          </w:p>
        </w:tc>
        <w:tc>
          <w:tcPr>
            <w:tcW w:w="1029" w:type="dxa"/>
            <w:hideMark/>
          </w:tcPr>
          <w:p w:rsidR="00ED12A8" w:rsidRPr="0045227B" w:rsidRDefault="00555858">
            <w:pPr>
              <w:rPr>
                <w:rFonts w:eastAsia="Times New Roman"/>
                <w:sz w:val="18"/>
                <w:szCs w:val="18"/>
              </w:rPr>
            </w:pPr>
            <w:r w:rsidRPr="0045227B">
              <w:rPr>
                <w:rStyle w:val="simple"/>
                <w:rFonts w:eastAsia="Times New Roman"/>
                <w:sz w:val="18"/>
                <w:szCs w:val="18"/>
              </w:rPr>
              <w:t>0.10-2.65</w:t>
            </w:r>
          </w:p>
        </w:tc>
        <w:tc>
          <w:tcPr>
            <w:tcW w:w="761" w:type="dxa"/>
            <w:hideMark/>
          </w:tcPr>
          <w:p w:rsidR="00ED12A8" w:rsidRPr="0045227B" w:rsidRDefault="00555858">
            <w:pPr>
              <w:rPr>
                <w:rFonts w:eastAsia="Times New Roman"/>
                <w:sz w:val="18"/>
                <w:szCs w:val="18"/>
              </w:rPr>
            </w:pPr>
            <w:r w:rsidRPr="0045227B">
              <w:rPr>
                <w:rStyle w:val="simple"/>
                <w:rFonts w:eastAsia="Times New Roman"/>
                <w:sz w:val="18"/>
                <w:szCs w:val="18"/>
              </w:rPr>
              <w:t>0.028</w:t>
            </w:r>
          </w:p>
        </w:tc>
        <w:tc>
          <w:tcPr>
            <w:tcW w:w="657" w:type="dxa"/>
            <w:hideMark/>
          </w:tcPr>
          <w:p w:rsidR="00ED12A8" w:rsidRPr="0045227B" w:rsidRDefault="00ED12A8">
            <w:pPr>
              <w:rPr>
                <w:rFonts w:eastAsia="Times New Roman"/>
                <w:sz w:val="18"/>
                <w:szCs w:val="18"/>
              </w:rPr>
            </w:pPr>
          </w:p>
        </w:tc>
        <w:tc>
          <w:tcPr>
            <w:tcW w:w="1228" w:type="dxa"/>
            <w:hideMark/>
          </w:tcPr>
          <w:p w:rsidR="00ED12A8" w:rsidRPr="0045227B" w:rsidRDefault="00ED12A8">
            <w:pPr>
              <w:rPr>
                <w:rFonts w:eastAsia="Times New Roman"/>
                <w:sz w:val="18"/>
                <w:szCs w:val="18"/>
              </w:rPr>
            </w:pPr>
          </w:p>
        </w:tc>
        <w:tc>
          <w:tcPr>
            <w:tcW w:w="909" w:type="dxa"/>
            <w:hideMark/>
          </w:tcPr>
          <w:p w:rsidR="00ED12A8" w:rsidRPr="0045227B" w:rsidRDefault="00ED12A8">
            <w:pPr>
              <w:rPr>
                <w:rFonts w:eastAsia="Times New Roman"/>
                <w:sz w:val="18"/>
                <w:szCs w:val="18"/>
              </w:rPr>
            </w:pPr>
          </w:p>
        </w:tc>
        <w:tc>
          <w:tcPr>
            <w:tcW w:w="525" w:type="dxa"/>
            <w:hideMark/>
          </w:tcPr>
          <w:p w:rsidR="00ED12A8" w:rsidRPr="0045227B" w:rsidRDefault="00555858">
            <w:pPr>
              <w:rPr>
                <w:rFonts w:eastAsia="Times New Roman"/>
                <w:sz w:val="18"/>
                <w:szCs w:val="18"/>
              </w:rPr>
            </w:pPr>
            <w:r w:rsidRPr="0045227B">
              <w:rPr>
                <w:rStyle w:val="simple"/>
                <w:rFonts w:eastAsia="Times New Roman"/>
                <w:sz w:val="18"/>
                <w:szCs w:val="18"/>
              </w:rPr>
              <w:t>1.30</w:t>
            </w:r>
          </w:p>
        </w:tc>
        <w:tc>
          <w:tcPr>
            <w:tcW w:w="1229" w:type="dxa"/>
            <w:hideMark/>
          </w:tcPr>
          <w:p w:rsidR="00ED12A8" w:rsidRPr="0045227B" w:rsidRDefault="00555858">
            <w:pPr>
              <w:rPr>
                <w:rFonts w:eastAsia="Times New Roman"/>
                <w:sz w:val="18"/>
                <w:szCs w:val="18"/>
              </w:rPr>
            </w:pPr>
            <w:r w:rsidRPr="0045227B">
              <w:rPr>
                <w:rStyle w:val="simple"/>
                <w:rFonts w:eastAsia="Times New Roman"/>
                <w:sz w:val="18"/>
                <w:szCs w:val="18"/>
              </w:rPr>
              <w:t>0.73-2.31</w:t>
            </w:r>
          </w:p>
        </w:tc>
        <w:tc>
          <w:tcPr>
            <w:tcW w:w="913" w:type="dxa"/>
            <w:hideMark/>
          </w:tcPr>
          <w:p w:rsidR="00ED12A8" w:rsidRPr="0045227B" w:rsidRDefault="00555858">
            <w:pPr>
              <w:rPr>
                <w:rFonts w:eastAsia="Times New Roman"/>
                <w:sz w:val="18"/>
                <w:szCs w:val="18"/>
              </w:rPr>
            </w:pPr>
            <w:r w:rsidRPr="0045227B">
              <w:rPr>
                <w:rStyle w:val="simple"/>
                <w:rFonts w:eastAsia="Times New Roman"/>
                <w:sz w:val="18"/>
                <w:szCs w:val="18"/>
              </w:rPr>
              <w:t>0.370</w:t>
            </w:r>
          </w:p>
        </w:tc>
        <w:tc>
          <w:tcPr>
            <w:tcW w:w="554" w:type="dxa"/>
            <w:hideMark/>
          </w:tcPr>
          <w:p w:rsidR="00ED12A8" w:rsidRPr="0045227B" w:rsidRDefault="00555858">
            <w:pPr>
              <w:rPr>
                <w:rFonts w:eastAsia="Times New Roman"/>
                <w:sz w:val="18"/>
                <w:szCs w:val="18"/>
              </w:rPr>
            </w:pPr>
            <w:r w:rsidRPr="0045227B">
              <w:rPr>
                <w:rStyle w:val="simple"/>
                <w:rFonts w:eastAsia="Times New Roman"/>
                <w:sz w:val="18"/>
                <w:szCs w:val="18"/>
              </w:rPr>
              <w:t>1.68</w:t>
            </w:r>
          </w:p>
        </w:tc>
        <w:tc>
          <w:tcPr>
            <w:tcW w:w="1152" w:type="dxa"/>
            <w:hideMark/>
          </w:tcPr>
          <w:p w:rsidR="00ED12A8" w:rsidRPr="0045227B" w:rsidRDefault="00555858">
            <w:pPr>
              <w:rPr>
                <w:rFonts w:eastAsia="Times New Roman"/>
                <w:sz w:val="18"/>
                <w:szCs w:val="18"/>
              </w:rPr>
            </w:pPr>
            <w:r w:rsidRPr="0045227B">
              <w:rPr>
                <w:rStyle w:val="simple"/>
                <w:rFonts w:eastAsia="Times New Roman"/>
                <w:sz w:val="18"/>
                <w:szCs w:val="18"/>
              </w:rPr>
              <w:t>0.98-2.90</w:t>
            </w:r>
          </w:p>
        </w:tc>
        <w:tc>
          <w:tcPr>
            <w:tcW w:w="962" w:type="dxa"/>
            <w:hideMark/>
          </w:tcPr>
          <w:p w:rsidR="00ED12A8" w:rsidRPr="0045227B" w:rsidRDefault="00555858">
            <w:pPr>
              <w:rPr>
                <w:rFonts w:eastAsia="Times New Roman"/>
                <w:sz w:val="18"/>
                <w:szCs w:val="18"/>
              </w:rPr>
            </w:pPr>
            <w:r w:rsidRPr="0045227B">
              <w:rPr>
                <w:rStyle w:val="simple"/>
                <w:rFonts w:eastAsia="Times New Roman"/>
                <w:sz w:val="18"/>
                <w:szCs w:val="18"/>
              </w:rPr>
              <w:t>0.061</w:t>
            </w:r>
          </w:p>
        </w:tc>
      </w:tr>
      <w:tr w:rsidR="00ED12A8" w:rsidRPr="0045227B" w:rsidTr="0045227B">
        <w:trPr>
          <w:tblHeader/>
          <w:jc w:val="center"/>
        </w:trPr>
        <w:tc>
          <w:tcPr>
            <w:tcW w:w="13984" w:type="dxa"/>
            <w:gridSpan w:val="13"/>
            <w:hideMark/>
          </w:tcPr>
          <w:p w:rsidR="00ED12A8" w:rsidRPr="0045227B" w:rsidRDefault="00555858">
            <w:pPr>
              <w:rPr>
                <w:rFonts w:eastAsia="Times New Roman"/>
                <w:sz w:val="18"/>
                <w:szCs w:val="18"/>
              </w:rPr>
            </w:pPr>
            <w:r w:rsidRPr="0045227B">
              <w:rPr>
                <w:rStyle w:val="simple"/>
                <w:rFonts w:eastAsia="Times New Roman"/>
                <w:sz w:val="18"/>
                <w:szCs w:val="18"/>
              </w:rPr>
              <w:t>Mother’s level of social integration</w:t>
            </w:r>
          </w:p>
        </w:tc>
      </w:tr>
      <w:tr w:rsidR="0045227B" w:rsidRPr="0045227B" w:rsidTr="0045227B">
        <w:trPr>
          <w:tblHeader/>
          <w:jc w:val="center"/>
        </w:trPr>
        <w:tc>
          <w:tcPr>
            <w:tcW w:w="3377" w:type="dxa"/>
            <w:hideMark/>
          </w:tcPr>
          <w:p w:rsidR="00ED12A8" w:rsidRPr="0045227B" w:rsidRDefault="00555858">
            <w:pPr>
              <w:rPr>
                <w:rFonts w:eastAsia="Times New Roman"/>
                <w:sz w:val="18"/>
                <w:szCs w:val="18"/>
              </w:rPr>
            </w:pPr>
            <w:r w:rsidRPr="0045227B">
              <w:rPr>
                <w:rStyle w:val="simple"/>
                <w:rFonts w:eastAsia="Times New Roman"/>
                <w:sz w:val="18"/>
                <w:szCs w:val="18"/>
              </w:rPr>
              <w:t>     highest 60% (ref)</w:t>
            </w:r>
          </w:p>
        </w:tc>
        <w:tc>
          <w:tcPr>
            <w:tcW w:w="688" w:type="dxa"/>
            <w:hideMark/>
          </w:tcPr>
          <w:p w:rsidR="00ED12A8" w:rsidRPr="0045227B" w:rsidRDefault="00ED12A8">
            <w:pPr>
              <w:rPr>
                <w:rFonts w:eastAsia="Times New Roman"/>
                <w:sz w:val="18"/>
                <w:szCs w:val="18"/>
              </w:rPr>
            </w:pPr>
          </w:p>
        </w:tc>
        <w:tc>
          <w:tcPr>
            <w:tcW w:w="1029" w:type="dxa"/>
            <w:hideMark/>
          </w:tcPr>
          <w:p w:rsidR="00ED12A8" w:rsidRPr="0045227B" w:rsidRDefault="00ED12A8">
            <w:pPr>
              <w:rPr>
                <w:rFonts w:eastAsia="Times New Roman"/>
                <w:sz w:val="18"/>
                <w:szCs w:val="18"/>
              </w:rPr>
            </w:pPr>
          </w:p>
        </w:tc>
        <w:tc>
          <w:tcPr>
            <w:tcW w:w="761" w:type="dxa"/>
            <w:hideMark/>
          </w:tcPr>
          <w:p w:rsidR="00ED12A8" w:rsidRPr="0045227B" w:rsidRDefault="00ED12A8">
            <w:pPr>
              <w:rPr>
                <w:rFonts w:eastAsia="Times New Roman"/>
                <w:sz w:val="18"/>
                <w:szCs w:val="18"/>
              </w:rPr>
            </w:pPr>
          </w:p>
        </w:tc>
        <w:tc>
          <w:tcPr>
            <w:tcW w:w="657" w:type="dxa"/>
            <w:hideMark/>
          </w:tcPr>
          <w:p w:rsidR="00ED12A8" w:rsidRPr="0045227B" w:rsidRDefault="00ED12A8">
            <w:pPr>
              <w:rPr>
                <w:rFonts w:eastAsia="Times New Roman"/>
                <w:sz w:val="18"/>
                <w:szCs w:val="18"/>
              </w:rPr>
            </w:pPr>
          </w:p>
        </w:tc>
        <w:tc>
          <w:tcPr>
            <w:tcW w:w="1228" w:type="dxa"/>
            <w:hideMark/>
          </w:tcPr>
          <w:p w:rsidR="00ED12A8" w:rsidRPr="0045227B" w:rsidRDefault="00ED12A8">
            <w:pPr>
              <w:rPr>
                <w:rFonts w:eastAsia="Times New Roman"/>
                <w:sz w:val="18"/>
                <w:szCs w:val="18"/>
              </w:rPr>
            </w:pPr>
          </w:p>
        </w:tc>
        <w:tc>
          <w:tcPr>
            <w:tcW w:w="909" w:type="dxa"/>
            <w:hideMark/>
          </w:tcPr>
          <w:p w:rsidR="00ED12A8" w:rsidRPr="0045227B" w:rsidRDefault="00ED12A8">
            <w:pPr>
              <w:rPr>
                <w:rFonts w:eastAsia="Times New Roman"/>
                <w:sz w:val="18"/>
                <w:szCs w:val="18"/>
              </w:rPr>
            </w:pPr>
          </w:p>
        </w:tc>
        <w:tc>
          <w:tcPr>
            <w:tcW w:w="525" w:type="dxa"/>
            <w:hideMark/>
          </w:tcPr>
          <w:p w:rsidR="00ED12A8" w:rsidRPr="0045227B" w:rsidRDefault="00ED12A8">
            <w:pPr>
              <w:rPr>
                <w:rFonts w:eastAsia="Times New Roman"/>
                <w:sz w:val="18"/>
                <w:szCs w:val="18"/>
              </w:rPr>
            </w:pPr>
          </w:p>
        </w:tc>
        <w:tc>
          <w:tcPr>
            <w:tcW w:w="1229" w:type="dxa"/>
            <w:hideMark/>
          </w:tcPr>
          <w:p w:rsidR="00ED12A8" w:rsidRPr="0045227B" w:rsidRDefault="00ED12A8">
            <w:pPr>
              <w:rPr>
                <w:rFonts w:eastAsia="Times New Roman"/>
                <w:sz w:val="18"/>
                <w:szCs w:val="18"/>
              </w:rPr>
            </w:pPr>
          </w:p>
        </w:tc>
        <w:tc>
          <w:tcPr>
            <w:tcW w:w="913" w:type="dxa"/>
            <w:hideMark/>
          </w:tcPr>
          <w:p w:rsidR="00ED12A8" w:rsidRPr="0045227B" w:rsidRDefault="00ED12A8">
            <w:pPr>
              <w:rPr>
                <w:rFonts w:eastAsia="Times New Roman"/>
                <w:sz w:val="18"/>
                <w:szCs w:val="18"/>
              </w:rPr>
            </w:pPr>
          </w:p>
        </w:tc>
        <w:tc>
          <w:tcPr>
            <w:tcW w:w="554" w:type="dxa"/>
            <w:hideMark/>
          </w:tcPr>
          <w:p w:rsidR="00ED12A8" w:rsidRPr="0045227B" w:rsidRDefault="00ED12A8">
            <w:pPr>
              <w:rPr>
                <w:rFonts w:eastAsia="Times New Roman"/>
                <w:sz w:val="18"/>
                <w:szCs w:val="18"/>
              </w:rPr>
            </w:pPr>
          </w:p>
        </w:tc>
        <w:tc>
          <w:tcPr>
            <w:tcW w:w="1152" w:type="dxa"/>
            <w:hideMark/>
          </w:tcPr>
          <w:p w:rsidR="00ED12A8" w:rsidRPr="0045227B" w:rsidRDefault="00ED12A8">
            <w:pPr>
              <w:rPr>
                <w:rFonts w:eastAsia="Times New Roman"/>
                <w:sz w:val="18"/>
                <w:szCs w:val="18"/>
              </w:rPr>
            </w:pPr>
          </w:p>
        </w:tc>
        <w:tc>
          <w:tcPr>
            <w:tcW w:w="962" w:type="dxa"/>
            <w:hideMark/>
          </w:tcPr>
          <w:p w:rsidR="00ED12A8" w:rsidRPr="0045227B" w:rsidRDefault="00ED12A8">
            <w:pPr>
              <w:rPr>
                <w:rFonts w:eastAsia="Times New Roman"/>
                <w:sz w:val="18"/>
                <w:szCs w:val="18"/>
              </w:rPr>
            </w:pPr>
          </w:p>
        </w:tc>
      </w:tr>
      <w:tr w:rsidR="0045227B" w:rsidRPr="0045227B" w:rsidTr="0045227B">
        <w:trPr>
          <w:tblHeader/>
          <w:jc w:val="center"/>
        </w:trPr>
        <w:tc>
          <w:tcPr>
            <w:tcW w:w="3377" w:type="dxa"/>
            <w:hideMark/>
          </w:tcPr>
          <w:p w:rsidR="00ED12A8" w:rsidRPr="0045227B" w:rsidRDefault="00555858">
            <w:pPr>
              <w:rPr>
                <w:rFonts w:eastAsia="Times New Roman"/>
                <w:sz w:val="18"/>
                <w:szCs w:val="18"/>
              </w:rPr>
            </w:pPr>
            <w:r w:rsidRPr="0045227B">
              <w:rPr>
                <w:rStyle w:val="simple"/>
                <w:rFonts w:eastAsia="Times New Roman"/>
                <w:sz w:val="18"/>
                <w:szCs w:val="18"/>
              </w:rPr>
              <w:t>     lowest 40%</w:t>
            </w:r>
          </w:p>
        </w:tc>
        <w:tc>
          <w:tcPr>
            <w:tcW w:w="688" w:type="dxa"/>
            <w:hideMark/>
          </w:tcPr>
          <w:p w:rsidR="00ED12A8" w:rsidRPr="0045227B" w:rsidRDefault="00555858">
            <w:pPr>
              <w:rPr>
                <w:rFonts w:eastAsia="Times New Roman"/>
                <w:sz w:val="18"/>
                <w:szCs w:val="18"/>
              </w:rPr>
            </w:pPr>
            <w:r w:rsidRPr="0045227B">
              <w:rPr>
                <w:rStyle w:val="simple"/>
                <w:rFonts w:eastAsia="Times New Roman"/>
                <w:sz w:val="18"/>
                <w:szCs w:val="18"/>
              </w:rPr>
              <w:t>1.48</w:t>
            </w:r>
          </w:p>
        </w:tc>
        <w:tc>
          <w:tcPr>
            <w:tcW w:w="1029" w:type="dxa"/>
            <w:hideMark/>
          </w:tcPr>
          <w:p w:rsidR="00ED12A8" w:rsidRPr="0045227B" w:rsidRDefault="00555858">
            <w:pPr>
              <w:rPr>
                <w:rFonts w:eastAsia="Times New Roman"/>
                <w:sz w:val="18"/>
                <w:szCs w:val="18"/>
              </w:rPr>
            </w:pPr>
            <w:r w:rsidRPr="0045227B">
              <w:rPr>
                <w:rStyle w:val="simple"/>
                <w:rFonts w:eastAsia="Times New Roman"/>
                <w:sz w:val="18"/>
                <w:szCs w:val="18"/>
              </w:rPr>
              <w:t>0.97-2.28</w:t>
            </w:r>
          </w:p>
        </w:tc>
        <w:tc>
          <w:tcPr>
            <w:tcW w:w="761" w:type="dxa"/>
            <w:hideMark/>
          </w:tcPr>
          <w:p w:rsidR="00ED12A8" w:rsidRPr="0045227B" w:rsidRDefault="00555858">
            <w:pPr>
              <w:rPr>
                <w:rFonts w:eastAsia="Times New Roman"/>
                <w:sz w:val="18"/>
                <w:szCs w:val="18"/>
              </w:rPr>
            </w:pPr>
            <w:r w:rsidRPr="0045227B">
              <w:rPr>
                <w:rStyle w:val="simple"/>
                <w:rFonts w:eastAsia="Times New Roman"/>
                <w:sz w:val="18"/>
                <w:szCs w:val="18"/>
              </w:rPr>
              <w:t>0.072</w:t>
            </w:r>
          </w:p>
        </w:tc>
        <w:tc>
          <w:tcPr>
            <w:tcW w:w="657" w:type="dxa"/>
            <w:hideMark/>
          </w:tcPr>
          <w:p w:rsidR="00ED12A8" w:rsidRPr="0045227B" w:rsidRDefault="00ED12A8">
            <w:pPr>
              <w:rPr>
                <w:rFonts w:eastAsia="Times New Roman"/>
                <w:sz w:val="18"/>
                <w:szCs w:val="18"/>
              </w:rPr>
            </w:pPr>
          </w:p>
        </w:tc>
        <w:tc>
          <w:tcPr>
            <w:tcW w:w="1228" w:type="dxa"/>
            <w:hideMark/>
          </w:tcPr>
          <w:p w:rsidR="00ED12A8" w:rsidRPr="0045227B" w:rsidRDefault="00ED12A8">
            <w:pPr>
              <w:rPr>
                <w:rFonts w:eastAsia="Times New Roman"/>
                <w:sz w:val="18"/>
                <w:szCs w:val="18"/>
              </w:rPr>
            </w:pPr>
          </w:p>
        </w:tc>
        <w:tc>
          <w:tcPr>
            <w:tcW w:w="909" w:type="dxa"/>
            <w:hideMark/>
          </w:tcPr>
          <w:p w:rsidR="00ED12A8" w:rsidRPr="0045227B" w:rsidRDefault="00ED12A8">
            <w:pPr>
              <w:rPr>
                <w:rFonts w:eastAsia="Times New Roman"/>
                <w:sz w:val="18"/>
                <w:szCs w:val="18"/>
              </w:rPr>
            </w:pPr>
          </w:p>
        </w:tc>
        <w:tc>
          <w:tcPr>
            <w:tcW w:w="525" w:type="dxa"/>
            <w:hideMark/>
          </w:tcPr>
          <w:p w:rsidR="00ED12A8" w:rsidRPr="0045227B" w:rsidRDefault="00ED12A8">
            <w:pPr>
              <w:rPr>
                <w:rFonts w:eastAsia="Times New Roman"/>
                <w:sz w:val="18"/>
                <w:szCs w:val="18"/>
              </w:rPr>
            </w:pPr>
          </w:p>
        </w:tc>
        <w:tc>
          <w:tcPr>
            <w:tcW w:w="1229" w:type="dxa"/>
            <w:hideMark/>
          </w:tcPr>
          <w:p w:rsidR="00ED12A8" w:rsidRPr="0045227B" w:rsidRDefault="00ED12A8">
            <w:pPr>
              <w:rPr>
                <w:rFonts w:eastAsia="Times New Roman"/>
                <w:sz w:val="18"/>
                <w:szCs w:val="18"/>
              </w:rPr>
            </w:pPr>
          </w:p>
        </w:tc>
        <w:tc>
          <w:tcPr>
            <w:tcW w:w="913" w:type="dxa"/>
            <w:hideMark/>
          </w:tcPr>
          <w:p w:rsidR="00ED12A8" w:rsidRPr="0045227B" w:rsidRDefault="00ED12A8">
            <w:pPr>
              <w:rPr>
                <w:rFonts w:eastAsia="Times New Roman"/>
                <w:sz w:val="18"/>
                <w:szCs w:val="18"/>
              </w:rPr>
            </w:pPr>
          </w:p>
        </w:tc>
        <w:tc>
          <w:tcPr>
            <w:tcW w:w="554" w:type="dxa"/>
            <w:hideMark/>
          </w:tcPr>
          <w:p w:rsidR="00ED12A8" w:rsidRPr="0045227B" w:rsidRDefault="00555858">
            <w:pPr>
              <w:rPr>
                <w:rFonts w:eastAsia="Times New Roman"/>
                <w:sz w:val="18"/>
                <w:szCs w:val="18"/>
              </w:rPr>
            </w:pPr>
            <w:r w:rsidRPr="0045227B">
              <w:rPr>
                <w:rStyle w:val="simple"/>
                <w:rFonts w:eastAsia="Times New Roman"/>
                <w:sz w:val="18"/>
                <w:szCs w:val="18"/>
              </w:rPr>
              <w:t>1.84</w:t>
            </w:r>
          </w:p>
        </w:tc>
        <w:tc>
          <w:tcPr>
            <w:tcW w:w="1152" w:type="dxa"/>
            <w:hideMark/>
          </w:tcPr>
          <w:p w:rsidR="00ED12A8" w:rsidRPr="0045227B" w:rsidRDefault="00555858">
            <w:pPr>
              <w:rPr>
                <w:rFonts w:eastAsia="Times New Roman"/>
                <w:sz w:val="18"/>
                <w:szCs w:val="18"/>
              </w:rPr>
            </w:pPr>
            <w:r w:rsidRPr="0045227B">
              <w:rPr>
                <w:rStyle w:val="simple"/>
                <w:rFonts w:eastAsia="Times New Roman"/>
                <w:sz w:val="18"/>
                <w:szCs w:val="18"/>
              </w:rPr>
              <w:t>1.07-3.17</w:t>
            </w:r>
          </w:p>
        </w:tc>
        <w:tc>
          <w:tcPr>
            <w:tcW w:w="962" w:type="dxa"/>
            <w:hideMark/>
          </w:tcPr>
          <w:p w:rsidR="00ED12A8" w:rsidRPr="0045227B" w:rsidRDefault="00555858">
            <w:pPr>
              <w:rPr>
                <w:rFonts w:eastAsia="Times New Roman"/>
                <w:sz w:val="18"/>
                <w:szCs w:val="18"/>
              </w:rPr>
            </w:pPr>
            <w:r w:rsidRPr="0045227B">
              <w:rPr>
                <w:rStyle w:val="simple"/>
                <w:rFonts w:eastAsia="Times New Roman"/>
                <w:sz w:val="18"/>
                <w:szCs w:val="18"/>
              </w:rPr>
              <w:t>0.027</w:t>
            </w:r>
          </w:p>
        </w:tc>
      </w:tr>
      <w:tr w:rsidR="0045227B" w:rsidRPr="0045227B" w:rsidTr="0045227B">
        <w:trPr>
          <w:tblHeader/>
          <w:jc w:val="center"/>
        </w:trPr>
        <w:tc>
          <w:tcPr>
            <w:tcW w:w="3377" w:type="dxa"/>
            <w:hideMark/>
          </w:tcPr>
          <w:p w:rsidR="00ED12A8" w:rsidRPr="0045227B" w:rsidRDefault="00555858" w:rsidP="00806E03">
            <w:pPr>
              <w:rPr>
                <w:rFonts w:eastAsia="Times New Roman"/>
                <w:sz w:val="18"/>
                <w:szCs w:val="18"/>
              </w:rPr>
            </w:pPr>
            <w:r w:rsidRPr="0045227B">
              <w:rPr>
                <w:rStyle w:val="simple"/>
                <w:rFonts w:eastAsia="Times New Roman"/>
                <w:sz w:val="18"/>
                <w:szCs w:val="18"/>
              </w:rPr>
              <w:t>Previous history of depression</w:t>
            </w:r>
            <w:r w:rsidR="00806E03" w:rsidRPr="00806E03">
              <w:rPr>
                <w:rStyle w:val="simple"/>
                <w:rFonts w:eastAsia="Times New Roman"/>
                <w:color w:val="FF0000"/>
                <w:sz w:val="18"/>
                <w:szCs w:val="18"/>
                <w:vertAlign w:val="superscript"/>
              </w:rPr>
              <w:t>3</w:t>
            </w:r>
          </w:p>
        </w:tc>
        <w:tc>
          <w:tcPr>
            <w:tcW w:w="688" w:type="dxa"/>
            <w:hideMark/>
          </w:tcPr>
          <w:p w:rsidR="00ED12A8" w:rsidRPr="0045227B" w:rsidRDefault="00555858">
            <w:pPr>
              <w:rPr>
                <w:rFonts w:eastAsia="Times New Roman"/>
                <w:sz w:val="18"/>
                <w:szCs w:val="18"/>
              </w:rPr>
            </w:pPr>
            <w:r w:rsidRPr="0045227B">
              <w:rPr>
                <w:rStyle w:val="simple"/>
                <w:rFonts w:eastAsia="Times New Roman"/>
                <w:sz w:val="18"/>
                <w:szCs w:val="18"/>
              </w:rPr>
              <w:t>3.01</w:t>
            </w:r>
          </w:p>
        </w:tc>
        <w:tc>
          <w:tcPr>
            <w:tcW w:w="1029" w:type="dxa"/>
            <w:hideMark/>
          </w:tcPr>
          <w:p w:rsidR="00ED12A8" w:rsidRPr="0045227B" w:rsidRDefault="00555858">
            <w:pPr>
              <w:rPr>
                <w:rFonts w:eastAsia="Times New Roman"/>
                <w:sz w:val="18"/>
                <w:szCs w:val="18"/>
              </w:rPr>
            </w:pPr>
            <w:r w:rsidRPr="0045227B">
              <w:rPr>
                <w:rStyle w:val="simple"/>
                <w:rFonts w:eastAsia="Times New Roman"/>
                <w:sz w:val="18"/>
                <w:szCs w:val="18"/>
              </w:rPr>
              <w:t>1.86-5.14</w:t>
            </w:r>
          </w:p>
        </w:tc>
        <w:tc>
          <w:tcPr>
            <w:tcW w:w="761" w:type="dxa"/>
            <w:hideMark/>
          </w:tcPr>
          <w:p w:rsidR="00ED12A8" w:rsidRPr="0045227B" w:rsidRDefault="00555858">
            <w:pPr>
              <w:rPr>
                <w:rFonts w:eastAsia="Times New Roman"/>
                <w:sz w:val="18"/>
                <w:szCs w:val="18"/>
              </w:rPr>
            </w:pPr>
            <w:r w:rsidRPr="0045227B">
              <w:rPr>
                <w:rStyle w:val="simple"/>
                <w:rFonts w:eastAsia="Times New Roman"/>
                <w:sz w:val="18"/>
                <w:szCs w:val="18"/>
              </w:rPr>
              <w:t>&lt;0.001</w:t>
            </w:r>
          </w:p>
        </w:tc>
        <w:tc>
          <w:tcPr>
            <w:tcW w:w="657" w:type="dxa"/>
            <w:hideMark/>
          </w:tcPr>
          <w:p w:rsidR="00ED12A8" w:rsidRPr="0045227B" w:rsidRDefault="00555858">
            <w:pPr>
              <w:rPr>
                <w:rFonts w:eastAsia="Times New Roman"/>
                <w:sz w:val="18"/>
                <w:szCs w:val="18"/>
              </w:rPr>
            </w:pPr>
            <w:r w:rsidRPr="0045227B">
              <w:rPr>
                <w:rStyle w:val="simple"/>
                <w:rFonts w:eastAsia="Times New Roman"/>
                <w:sz w:val="18"/>
                <w:szCs w:val="18"/>
              </w:rPr>
              <w:t>2.77</w:t>
            </w:r>
          </w:p>
        </w:tc>
        <w:tc>
          <w:tcPr>
            <w:tcW w:w="1228" w:type="dxa"/>
            <w:hideMark/>
          </w:tcPr>
          <w:p w:rsidR="00ED12A8" w:rsidRPr="0045227B" w:rsidRDefault="00555858">
            <w:pPr>
              <w:rPr>
                <w:rFonts w:eastAsia="Times New Roman"/>
                <w:sz w:val="18"/>
                <w:szCs w:val="18"/>
              </w:rPr>
            </w:pPr>
            <w:r w:rsidRPr="0045227B">
              <w:rPr>
                <w:rStyle w:val="simple"/>
                <w:rFonts w:eastAsia="Times New Roman"/>
                <w:sz w:val="18"/>
                <w:szCs w:val="18"/>
              </w:rPr>
              <w:t>1.51-5.06</w:t>
            </w:r>
          </w:p>
        </w:tc>
        <w:tc>
          <w:tcPr>
            <w:tcW w:w="909" w:type="dxa"/>
            <w:hideMark/>
          </w:tcPr>
          <w:p w:rsidR="00ED12A8" w:rsidRPr="0045227B" w:rsidRDefault="00555858">
            <w:pPr>
              <w:rPr>
                <w:rFonts w:eastAsia="Times New Roman"/>
                <w:sz w:val="18"/>
                <w:szCs w:val="18"/>
              </w:rPr>
            </w:pPr>
            <w:r w:rsidRPr="0045227B">
              <w:rPr>
                <w:rStyle w:val="simple"/>
                <w:rFonts w:eastAsia="Times New Roman"/>
                <w:sz w:val="18"/>
                <w:szCs w:val="18"/>
              </w:rPr>
              <w:t>0.001</w:t>
            </w:r>
          </w:p>
        </w:tc>
        <w:tc>
          <w:tcPr>
            <w:tcW w:w="525" w:type="dxa"/>
            <w:hideMark/>
          </w:tcPr>
          <w:p w:rsidR="00ED12A8" w:rsidRPr="0045227B" w:rsidRDefault="00555858">
            <w:pPr>
              <w:rPr>
                <w:rFonts w:eastAsia="Times New Roman"/>
                <w:sz w:val="18"/>
                <w:szCs w:val="18"/>
              </w:rPr>
            </w:pPr>
            <w:r w:rsidRPr="0045227B">
              <w:rPr>
                <w:rStyle w:val="simple"/>
                <w:rFonts w:eastAsia="Times New Roman"/>
                <w:sz w:val="18"/>
                <w:szCs w:val="18"/>
              </w:rPr>
              <w:t>2.83</w:t>
            </w:r>
          </w:p>
        </w:tc>
        <w:tc>
          <w:tcPr>
            <w:tcW w:w="1229" w:type="dxa"/>
            <w:hideMark/>
          </w:tcPr>
          <w:p w:rsidR="00ED12A8" w:rsidRPr="0045227B" w:rsidRDefault="00555858">
            <w:pPr>
              <w:rPr>
                <w:rFonts w:eastAsia="Times New Roman"/>
                <w:sz w:val="18"/>
                <w:szCs w:val="18"/>
              </w:rPr>
            </w:pPr>
            <w:r w:rsidRPr="0045227B">
              <w:rPr>
                <w:rStyle w:val="simple"/>
                <w:rFonts w:eastAsia="Times New Roman"/>
                <w:sz w:val="18"/>
                <w:szCs w:val="18"/>
              </w:rPr>
              <w:t>1.53-5.20</w:t>
            </w:r>
          </w:p>
        </w:tc>
        <w:tc>
          <w:tcPr>
            <w:tcW w:w="913" w:type="dxa"/>
            <w:hideMark/>
          </w:tcPr>
          <w:p w:rsidR="00ED12A8" w:rsidRPr="0045227B" w:rsidRDefault="00555858">
            <w:pPr>
              <w:rPr>
                <w:rFonts w:eastAsia="Times New Roman"/>
                <w:sz w:val="18"/>
                <w:szCs w:val="18"/>
              </w:rPr>
            </w:pPr>
            <w:r w:rsidRPr="0045227B">
              <w:rPr>
                <w:rStyle w:val="simple"/>
                <w:rFonts w:eastAsia="Times New Roman"/>
                <w:sz w:val="18"/>
                <w:szCs w:val="18"/>
              </w:rPr>
              <w:t>0.001</w:t>
            </w:r>
          </w:p>
        </w:tc>
        <w:tc>
          <w:tcPr>
            <w:tcW w:w="554" w:type="dxa"/>
            <w:hideMark/>
          </w:tcPr>
          <w:p w:rsidR="00ED12A8" w:rsidRPr="0045227B" w:rsidRDefault="00555858">
            <w:pPr>
              <w:rPr>
                <w:rFonts w:eastAsia="Times New Roman"/>
                <w:sz w:val="18"/>
                <w:szCs w:val="18"/>
              </w:rPr>
            </w:pPr>
            <w:r w:rsidRPr="0045227B">
              <w:rPr>
                <w:rStyle w:val="simple"/>
                <w:rFonts w:eastAsia="Times New Roman"/>
                <w:sz w:val="18"/>
                <w:szCs w:val="18"/>
              </w:rPr>
              <w:t>2.61</w:t>
            </w:r>
          </w:p>
        </w:tc>
        <w:tc>
          <w:tcPr>
            <w:tcW w:w="1152" w:type="dxa"/>
            <w:hideMark/>
          </w:tcPr>
          <w:p w:rsidR="00ED12A8" w:rsidRPr="0045227B" w:rsidRDefault="00555858">
            <w:pPr>
              <w:rPr>
                <w:rFonts w:eastAsia="Times New Roman"/>
                <w:sz w:val="18"/>
                <w:szCs w:val="18"/>
              </w:rPr>
            </w:pPr>
            <w:r w:rsidRPr="0045227B">
              <w:rPr>
                <w:rStyle w:val="simple"/>
                <w:rFonts w:eastAsia="Times New Roman"/>
                <w:sz w:val="18"/>
                <w:szCs w:val="18"/>
              </w:rPr>
              <w:t>1.44-4.73</w:t>
            </w:r>
          </w:p>
        </w:tc>
        <w:tc>
          <w:tcPr>
            <w:tcW w:w="962" w:type="dxa"/>
            <w:hideMark/>
          </w:tcPr>
          <w:p w:rsidR="00ED12A8" w:rsidRPr="0045227B" w:rsidRDefault="00555858">
            <w:pPr>
              <w:rPr>
                <w:rFonts w:eastAsia="Times New Roman"/>
                <w:sz w:val="18"/>
                <w:szCs w:val="18"/>
              </w:rPr>
            </w:pPr>
            <w:r w:rsidRPr="0045227B">
              <w:rPr>
                <w:rStyle w:val="simple"/>
                <w:rFonts w:eastAsia="Times New Roman"/>
                <w:sz w:val="18"/>
                <w:szCs w:val="18"/>
              </w:rPr>
              <w:t>0.002</w:t>
            </w:r>
          </w:p>
        </w:tc>
      </w:tr>
      <w:tr w:rsidR="00ED12A8" w:rsidRPr="0045227B" w:rsidTr="0045227B">
        <w:trPr>
          <w:tblHeader/>
          <w:jc w:val="center"/>
        </w:trPr>
        <w:tc>
          <w:tcPr>
            <w:tcW w:w="13984" w:type="dxa"/>
            <w:gridSpan w:val="13"/>
            <w:hideMark/>
          </w:tcPr>
          <w:p w:rsidR="00ED12A8" w:rsidRPr="0045227B" w:rsidRDefault="00555858">
            <w:pPr>
              <w:rPr>
                <w:rFonts w:eastAsia="Times New Roman"/>
                <w:sz w:val="18"/>
                <w:szCs w:val="18"/>
              </w:rPr>
            </w:pPr>
            <w:r w:rsidRPr="0045227B">
              <w:rPr>
                <w:rStyle w:val="simple"/>
                <w:rFonts w:eastAsia="Times New Roman"/>
                <w:sz w:val="18"/>
                <w:szCs w:val="18"/>
              </w:rPr>
              <w:t>Read Norwegian newspapers/watch TV</w:t>
            </w:r>
          </w:p>
        </w:tc>
      </w:tr>
      <w:tr w:rsidR="00ED12A8" w:rsidRPr="0045227B" w:rsidTr="0045227B">
        <w:trPr>
          <w:tblHeader/>
          <w:jc w:val="center"/>
        </w:trPr>
        <w:tc>
          <w:tcPr>
            <w:tcW w:w="13984" w:type="dxa"/>
            <w:gridSpan w:val="13"/>
            <w:hideMark/>
          </w:tcPr>
          <w:p w:rsidR="00ED12A8" w:rsidRPr="0045227B" w:rsidRDefault="00555858">
            <w:pPr>
              <w:rPr>
                <w:rFonts w:eastAsia="Times New Roman"/>
                <w:sz w:val="18"/>
                <w:szCs w:val="18"/>
              </w:rPr>
            </w:pPr>
            <w:r w:rsidRPr="0045227B">
              <w:rPr>
                <w:rStyle w:val="simple"/>
                <w:rFonts w:eastAsia="Times New Roman"/>
                <w:sz w:val="18"/>
                <w:szCs w:val="18"/>
              </w:rPr>
              <w:t>     Daily(ref)</w:t>
            </w:r>
          </w:p>
        </w:tc>
      </w:tr>
      <w:tr w:rsidR="0045227B" w:rsidRPr="0045227B" w:rsidTr="0045227B">
        <w:trPr>
          <w:tblHeader/>
          <w:jc w:val="center"/>
        </w:trPr>
        <w:tc>
          <w:tcPr>
            <w:tcW w:w="3377" w:type="dxa"/>
            <w:hideMark/>
          </w:tcPr>
          <w:p w:rsidR="00ED12A8" w:rsidRPr="0045227B" w:rsidRDefault="00555858">
            <w:pPr>
              <w:rPr>
                <w:rFonts w:eastAsia="Times New Roman"/>
                <w:sz w:val="18"/>
                <w:szCs w:val="18"/>
              </w:rPr>
            </w:pPr>
            <w:r w:rsidRPr="0045227B">
              <w:rPr>
                <w:rStyle w:val="simple"/>
                <w:rFonts w:eastAsia="Times New Roman"/>
                <w:sz w:val="18"/>
                <w:szCs w:val="18"/>
              </w:rPr>
              <w:t>     Weekly</w:t>
            </w:r>
          </w:p>
        </w:tc>
        <w:tc>
          <w:tcPr>
            <w:tcW w:w="688" w:type="dxa"/>
            <w:hideMark/>
          </w:tcPr>
          <w:p w:rsidR="00ED12A8" w:rsidRPr="0045227B" w:rsidRDefault="00555858">
            <w:pPr>
              <w:rPr>
                <w:rFonts w:eastAsia="Times New Roman"/>
                <w:sz w:val="18"/>
                <w:szCs w:val="18"/>
              </w:rPr>
            </w:pPr>
            <w:r w:rsidRPr="0045227B">
              <w:rPr>
                <w:rStyle w:val="simple"/>
                <w:rFonts w:eastAsia="Times New Roman"/>
                <w:sz w:val="18"/>
                <w:szCs w:val="18"/>
              </w:rPr>
              <w:t>0.85</w:t>
            </w:r>
          </w:p>
        </w:tc>
        <w:tc>
          <w:tcPr>
            <w:tcW w:w="1029" w:type="dxa"/>
            <w:hideMark/>
          </w:tcPr>
          <w:p w:rsidR="00ED12A8" w:rsidRPr="0045227B" w:rsidRDefault="00555858">
            <w:pPr>
              <w:rPr>
                <w:rFonts w:eastAsia="Times New Roman"/>
                <w:sz w:val="18"/>
                <w:szCs w:val="18"/>
              </w:rPr>
            </w:pPr>
            <w:r w:rsidRPr="0045227B">
              <w:rPr>
                <w:rStyle w:val="simple"/>
                <w:rFonts w:eastAsia="Times New Roman"/>
                <w:sz w:val="18"/>
                <w:szCs w:val="18"/>
              </w:rPr>
              <w:t>0.087-8.32</w:t>
            </w:r>
          </w:p>
        </w:tc>
        <w:tc>
          <w:tcPr>
            <w:tcW w:w="761" w:type="dxa"/>
            <w:hideMark/>
          </w:tcPr>
          <w:p w:rsidR="00ED12A8" w:rsidRPr="0045227B" w:rsidRDefault="00555858">
            <w:pPr>
              <w:rPr>
                <w:rFonts w:eastAsia="Times New Roman"/>
                <w:sz w:val="18"/>
                <w:szCs w:val="18"/>
              </w:rPr>
            </w:pPr>
            <w:r w:rsidRPr="0045227B">
              <w:rPr>
                <w:rStyle w:val="simple"/>
                <w:rFonts w:eastAsia="Times New Roman"/>
                <w:sz w:val="18"/>
                <w:szCs w:val="18"/>
              </w:rPr>
              <w:t>0.889</w:t>
            </w:r>
          </w:p>
        </w:tc>
        <w:tc>
          <w:tcPr>
            <w:tcW w:w="657" w:type="dxa"/>
            <w:hideMark/>
          </w:tcPr>
          <w:p w:rsidR="00ED12A8" w:rsidRPr="0045227B" w:rsidRDefault="00ED12A8">
            <w:pPr>
              <w:rPr>
                <w:rFonts w:eastAsia="Times New Roman"/>
                <w:sz w:val="18"/>
                <w:szCs w:val="18"/>
              </w:rPr>
            </w:pPr>
          </w:p>
        </w:tc>
        <w:tc>
          <w:tcPr>
            <w:tcW w:w="1228" w:type="dxa"/>
            <w:hideMark/>
          </w:tcPr>
          <w:p w:rsidR="00ED12A8" w:rsidRPr="0045227B" w:rsidRDefault="00ED12A8">
            <w:pPr>
              <w:rPr>
                <w:rFonts w:eastAsia="Times New Roman"/>
                <w:sz w:val="18"/>
                <w:szCs w:val="18"/>
              </w:rPr>
            </w:pPr>
          </w:p>
        </w:tc>
        <w:tc>
          <w:tcPr>
            <w:tcW w:w="909" w:type="dxa"/>
            <w:hideMark/>
          </w:tcPr>
          <w:p w:rsidR="00ED12A8" w:rsidRPr="0045227B" w:rsidRDefault="00ED12A8">
            <w:pPr>
              <w:rPr>
                <w:rFonts w:eastAsia="Times New Roman"/>
                <w:sz w:val="18"/>
                <w:szCs w:val="18"/>
              </w:rPr>
            </w:pPr>
          </w:p>
        </w:tc>
        <w:tc>
          <w:tcPr>
            <w:tcW w:w="525" w:type="dxa"/>
            <w:hideMark/>
          </w:tcPr>
          <w:p w:rsidR="00ED12A8" w:rsidRPr="0045227B" w:rsidRDefault="00ED12A8">
            <w:pPr>
              <w:rPr>
                <w:rFonts w:eastAsia="Times New Roman"/>
                <w:sz w:val="18"/>
                <w:szCs w:val="18"/>
              </w:rPr>
            </w:pPr>
          </w:p>
        </w:tc>
        <w:tc>
          <w:tcPr>
            <w:tcW w:w="1229" w:type="dxa"/>
            <w:hideMark/>
          </w:tcPr>
          <w:p w:rsidR="00ED12A8" w:rsidRPr="0045227B" w:rsidRDefault="00ED12A8">
            <w:pPr>
              <w:rPr>
                <w:rFonts w:eastAsia="Times New Roman"/>
                <w:sz w:val="18"/>
                <w:szCs w:val="18"/>
              </w:rPr>
            </w:pPr>
          </w:p>
        </w:tc>
        <w:tc>
          <w:tcPr>
            <w:tcW w:w="913" w:type="dxa"/>
            <w:hideMark/>
          </w:tcPr>
          <w:p w:rsidR="00ED12A8" w:rsidRPr="0045227B" w:rsidRDefault="00ED12A8">
            <w:pPr>
              <w:rPr>
                <w:rFonts w:eastAsia="Times New Roman"/>
                <w:sz w:val="18"/>
                <w:szCs w:val="18"/>
              </w:rPr>
            </w:pPr>
          </w:p>
        </w:tc>
        <w:tc>
          <w:tcPr>
            <w:tcW w:w="554" w:type="dxa"/>
            <w:hideMark/>
          </w:tcPr>
          <w:p w:rsidR="00ED12A8" w:rsidRPr="0045227B" w:rsidRDefault="00ED12A8">
            <w:pPr>
              <w:rPr>
                <w:rFonts w:eastAsia="Times New Roman"/>
                <w:sz w:val="18"/>
                <w:szCs w:val="18"/>
              </w:rPr>
            </w:pPr>
          </w:p>
        </w:tc>
        <w:tc>
          <w:tcPr>
            <w:tcW w:w="1152" w:type="dxa"/>
            <w:hideMark/>
          </w:tcPr>
          <w:p w:rsidR="00ED12A8" w:rsidRPr="0045227B" w:rsidRDefault="00ED12A8">
            <w:pPr>
              <w:rPr>
                <w:rFonts w:eastAsia="Times New Roman"/>
                <w:sz w:val="18"/>
                <w:szCs w:val="18"/>
              </w:rPr>
            </w:pPr>
          </w:p>
        </w:tc>
        <w:tc>
          <w:tcPr>
            <w:tcW w:w="962" w:type="dxa"/>
            <w:hideMark/>
          </w:tcPr>
          <w:p w:rsidR="00ED12A8" w:rsidRPr="0045227B" w:rsidRDefault="00ED12A8">
            <w:pPr>
              <w:rPr>
                <w:rFonts w:eastAsia="Times New Roman"/>
                <w:sz w:val="18"/>
                <w:szCs w:val="18"/>
              </w:rPr>
            </w:pPr>
          </w:p>
        </w:tc>
      </w:tr>
      <w:tr w:rsidR="0045227B" w:rsidRPr="0045227B" w:rsidTr="0045227B">
        <w:trPr>
          <w:tblHeader/>
          <w:jc w:val="center"/>
        </w:trPr>
        <w:tc>
          <w:tcPr>
            <w:tcW w:w="3377" w:type="dxa"/>
            <w:hideMark/>
          </w:tcPr>
          <w:p w:rsidR="00ED12A8" w:rsidRPr="0045227B" w:rsidRDefault="00555858">
            <w:pPr>
              <w:rPr>
                <w:rFonts w:eastAsia="Times New Roman"/>
                <w:sz w:val="18"/>
                <w:szCs w:val="18"/>
              </w:rPr>
            </w:pPr>
            <w:r w:rsidRPr="0045227B">
              <w:rPr>
                <w:rStyle w:val="simple"/>
                <w:rFonts w:eastAsia="Times New Roman"/>
                <w:sz w:val="18"/>
                <w:szCs w:val="18"/>
              </w:rPr>
              <w:t>     Seldom</w:t>
            </w:r>
          </w:p>
        </w:tc>
        <w:tc>
          <w:tcPr>
            <w:tcW w:w="688" w:type="dxa"/>
            <w:hideMark/>
          </w:tcPr>
          <w:p w:rsidR="00ED12A8" w:rsidRPr="0045227B" w:rsidRDefault="00555858">
            <w:pPr>
              <w:rPr>
                <w:rFonts w:eastAsia="Times New Roman"/>
                <w:sz w:val="18"/>
                <w:szCs w:val="18"/>
              </w:rPr>
            </w:pPr>
            <w:r w:rsidRPr="0045227B">
              <w:rPr>
                <w:rStyle w:val="simple"/>
                <w:rFonts w:eastAsia="Times New Roman"/>
                <w:sz w:val="18"/>
                <w:szCs w:val="18"/>
              </w:rPr>
              <w:t>1.12</w:t>
            </w:r>
          </w:p>
        </w:tc>
        <w:tc>
          <w:tcPr>
            <w:tcW w:w="1029" w:type="dxa"/>
            <w:hideMark/>
          </w:tcPr>
          <w:p w:rsidR="00ED12A8" w:rsidRPr="0045227B" w:rsidRDefault="00555858">
            <w:pPr>
              <w:rPr>
                <w:rFonts w:eastAsia="Times New Roman"/>
                <w:sz w:val="18"/>
                <w:szCs w:val="18"/>
              </w:rPr>
            </w:pPr>
            <w:r w:rsidRPr="0045227B">
              <w:rPr>
                <w:rStyle w:val="simple"/>
                <w:rFonts w:eastAsia="Times New Roman"/>
                <w:sz w:val="18"/>
                <w:szCs w:val="18"/>
              </w:rPr>
              <w:t>0.42-3.01</w:t>
            </w:r>
          </w:p>
        </w:tc>
        <w:tc>
          <w:tcPr>
            <w:tcW w:w="761" w:type="dxa"/>
            <w:hideMark/>
          </w:tcPr>
          <w:p w:rsidR="00ED12A8" w:rsidRPr="0045227B" w:rsidRDefault="00555858">
            <w:pPr>
              <w:rPr>
                <w:rFonts w:eastAsia="Times New Roman"/>
                <w:sz w:val="18"/>
                <w:szCs w:val="18"/>
              </w:rPr>
            </w:pPr>
            <w:r w:rsidRPr="0045227B">
              <w:rPr>
                <w:rStyle w:val="simple"/>
                <w:rFonts w:eastAsia="Times New Roman"/>
                <w:sz w:val="18"/>
                <w:szCs w:val="18"/>
              </w:rPr>
              <w:t>0.828</w:t>
            </w:r>
          </w:p>
        </w:tc>
        <w:tc>
          <w:tcPr>
            <w:tcW w:w="657" w:type="dxa"/>
            <w:hideMark/>
          </w:tcPr>
          <w:p w:rsidR="00ED12A8" w:rsidRPr="0045227B" w:rsidRDefault="00ED12A8">
            <w:pPr>
              <w:rPr>
                <w:rFonts w:eastAsia="Times New Roman"/>
                <w:sz w:val="18"/>
                <w:szCs w:val="18"/>
              </w:rPr>
            </w:pPr>
          </w:p>
        </w:tc>
        <w:tc>
          <w:tcPr>
            <w:tcW w:w="1228" w:type="dxa"/>
            <w:hideMark/>
          </w:tcPr>
          <w:p w:rsidR="00ED12A8" w:rsidRPr="0045227B" w:rsidRDefault="00ED12A8">
            <w:pPr>
              <w:rPr>
                <w:rFonts w:eastAsia="Times New Roman"/>
                <w:sz w:val="18"/>
                <w:szCs w:val="18"/>
              </w:rPr>
            </w:pPr>
          </w:p>
        </w:tc>
        <w:tc>
          <w:tcPr>
            <w:tcW w:w="909" w:type="dxa"/>
            <w:hideMark/>
          </w:tcPr>
          <w:p w:rsidR="00ED12A8" w:rsidRPr="0045227B" w:rsidRDefault="00ED12A8">
            <w:pPr>
              <w:rPr>
                <w:rFonts w:eastAsia="Times New Roman"/>
                <w:sz w:val="18"/>
                <w:szCs w:val="18"/>
              </w:rPr>
            </w:pPr>
          </w:p>
        </w:tc>
        <w:tc>
          <w:tcPr>
            <w:tcW w:w="525" w:type="dxa"/>
            <w:hideMark/>
          </w:tcPr>
          <w:p w:rsidR="00ED12A8" w:rsidRPr="0045227B" w:rsidRDefault="00ED12A8">
            <w:pPr>
              <w:rPr>
                <w:rFonts w:eastAsia="Times New Roman"/>
                <w:sz w:val="18"/>
                <w:szCs w:val="18"/>
              </w:rPr>
            </w:pPr>
          </w:p>
        </w:tc>
        <w:tc>
          <w:tcPr>
            <w:tcW w:w="1229" w:type="dxa"/>
            <w:hideMark/>
          </w:tcPr>
          <w:p w:rsidR="00ED12A8" w:rsidRPr="0045227B" w:rsidRDefault="00ED12A8">
            <w:pPr>
              <w:rPr>
                <w:rFonts w:eastAsia="Times New Roman"/>
                <w:sz w:val="18"/>
                <w:szCs w:val="18"/>
              </w:rPr>
            </w:pPr>
          </w:p>
        </w:tc>
        <w:tc>
          <w:tcPr>
            <w:tcW w:w="913" w:type="dxa"/>
            <w:hideMark/>
          </w:tcPr>
          <w:p w:rsidR="00ED12A8" w:rsidRPr="0045227B" w:rsidRDefault="00ED12A8">
            <w:pPr>
              <w:rPr>
                <w:rFonts w:eastAsia="Times New Roman"/>
                <w:sz w:val="18"/>
                <w:szCs w:val="18"/>
              </w:rPr>
            </w:pPr>
          </w:p>
        </w:tc>
        <w:tc>
          <w:tcPr>
            <w:tcW w:w="554" w:type="dxa"/>
            <w:hideMark/>
          </w:tcPr>
          <w:p w:rsidR="00ED12A8" w:rsidRPr="0045227B" w:rsidRDefault="00ED12A8">
            <w:pPr>
              <w:rPr>
                <w:rFonts w:eastAsia="Times New Roman"/>
                <w:sz w:val="18"/>
                <w:szCs w:val="18"/>
              </w:rPr>
            </w:pPr>
          </w:p>
        </w:tc>
        <w:tc>
          <w:tcPr>
            <w:tcW w:w="1152" w:type="dxa"/>
            <w:hideMark/>
          </w:tcPr>
          <w:p w:rsidR="00ED12A8" w:rsidRPr="0045227B" w:rsidRDefault="00ED12A8">
            <w:pPr>
              <w:rPr>
                <w:rFonts w:eastAsia="Times New Roman"/>
                <w:sz w:val="18"/>
                <w:szCs w:val="18"/>
              </w:rPr>
            </w:pPr>
          </w:p>
        </w:tc>
        <w:tc>
          <w:tcPr>
            <w:tcW w:w="962" w:type="dxa"/>
            <w:hideMark/>
          </w:tcPr>
          <w:p w:rsidR="00ED12A8" w:rsidRPr="0045227B" w:rsidRDefault="00ED12A8">
            <w:pPr>
              <w:rPr>
                <w:rFonts w:eastAsia="Times New Roman"/>
                <w:sz w:val="18"/>
                <w:szCs w:val="18"/>
              </w:rPr>
            </w:pPr>
          </w:p>
        </w:tc>
      </w:tr>
      <w:tr w:rsidR="0045227B" w:rsidRPr="0045227B" w:rsidTr="0045227B">
        <w:trPr>
          <w:tblHeader/>
          <w:jc w:val="center"/>
        </w:trPr>
        <w:tc>
          <w:tcPr>
            <w:tcW w:w="3377" w:type="dxa"/>
            <w:hideMark/>
          </w:tcPr>
          <w:p w:rsidR="00ED12A8" w:rsidRPr="0045227B" w:rsidRDefault="00555858">
            <w:pPr>
              <w:rPr>
                <w:rFonts w:eastAsia="Times New Roman"/>
                <w:sz w:val="18"/>
                <w:szCs w:val="18"/>
              </w:rPr>
            </w:pPr>
            <w:r w:rsidRPr="0045227B">
              <w:rPr>
                <w:rStyle w:val="simple"/>
                <w:rFonts w:eastAsia="Times New Roman"/>
                <w:sz w:val="18"/>
                <w:szCs w:val="18"/>
              </w:rPr>
              <w:t>     Never</w:t>
            </w:r>
          </w:p>
        </w:tc>
        <w:tc>
          <w:tcPr>
            <w:tcW w:w="688" w:type="dxa"/>
            <w:hideMark/>
          </w:tcPr>
          <w:p w:rsidR="00ED12A8" w:rsidRPr="0045227B" w:rsidRDefault="00555858">
            <w:pPr>
              <w:rPr>
                <w:rFonts w:eastAsia="Times New Roman"/>
                <w:sz w:val="18"/>
                <w:szCs w:val="18"/>
              </w:rPr>
            </w:pPr>
            <w:r w:rsidRPr="0045227B">
              <w:rPr>
                <w:rStyle w:val="simple"/>
                <w:rFonts w:eastAsia="Times New Roman"/>
                <w:sz w:val="18"/>
                <w:szCs w:val="18"/>
              </w:rPr>
              <w:t>2.94</w:t>
            </w:r>
          </w:p>
        </w:tc>
        <w:tc>
          <w:tcPr>
            <w:tcW w:w="1029" w:type="dxa"/>
            <w:hideMark/>
          </w:tcPr>
          <w:p w:rsidR="00ED12A8" w:rsidRPr="0045227B" w:rsidRDefault="00555858">
            <w:pPr>
              <w:rPr>
                <w:rFonts w:eastAsia="Times New Roman"/>
                <w:sz w:val="18"/>
                <w:szCs w:val="18"/>
              </w:rPr>
            </w:pPr>
            <w:r w:rsidRPr="0045227B">
              <w:rPr>
                <w:rStyle w:val="simple"/>
                <w:rFonts w:eastAsia="Times New Roman"/>
                <w:sz w:val="18"/>
                <w:szCs w:val="18"/>
              </w:rPr>
              <w:t>1.0-8.67</w:t>
            </w:r>
          </w:p>
        </w:tc>
        <w:tc>
          <w:tcPr>
            <w:tcW w:w="761" w:type="dxa"/>
            <w:hideMark/>
          </w:tcPr>
          <w:p w:rsidR="00ED12A8" w:rsidRPr="0045227B" w:rsidRDefault="00555858">
            <w:pPr>
              <w:rPr>
                <w:rFonts w:eastAsia="Times New Roman"/>
                <w:sz w:val="18"/>
                <w:szCs w:val="18"/>
              </w:rPr>
            </w:pPr>
            <w:r w:rsidRPr="0045227B">
              <w:rPr>
                <w:rStyle w:val="simple"/>
                <w:rFonts w:eastAsia="Times New Roman"/>
                <w:sz w:val="18"/>
                <w:szCs w:val="18"/>
              </w:rPr>
              <w:t>0.051</w:t>
            </w:r>
          </w:p>
        </w:tc>
        <w:tc>
          <w:tcPr>
            <w:tcW w:w="657" w:type="dxa"/>
            <w:hideMark/>
          </w:tcPr>
          <w:p w:rsidR="00ED12A8" w:rsidRPr="0045227B" w:rsidRDefault="00ED12A8">
            <w:pPr>
              <w:rPr>
                <w:rFonts w:eastAsia="Times New Roman"/>
                <w:sz w:val="18"/>
                <w:szCs w:val="18"/>
              </w:rPr>
            </w:pPr>
          </w:p>
        </w:tc>
        <w:tc>
          <w:tcPr>
            <w:tcW w:w="1228" w:type="dxa"/>
            <w:hideMark/>
          </w:tcPr>
          <w:p w:rsidR="00ED12A8" w:rsidRPr="0045227B" w:rsidRDefault="00ED12A8">
            <w:pPr>
              <w:rPr>
                <w:rFonts w:eastAsia="Times New Roman"/>
                <w:sz w:val="18"/>
                <w:szCs w:val="18"/>
              </w:rPr>
            </w:pPr>
          </w:p>
        </w:tc>
        <w:tc>
          <w:tcPr>
            <w:tcW w:w="909" w:type="dxa"/>
            <w:hideMark/>
          </w:tcPr>
          <w:p w:rsidR="00ED12A8" w:rsidRPr="0045227B" w:rsidRDefault="00ED12A8">
            <w:pPr>
              <w:rPr>
                <w:rFonts w:eastAsia="Times New Roman"/>
                <w:sz w:val="18"/>
                <w:szCs w:val="18"/>
              </w:rPr>
            </w:pPr>
          </w:p>
        </w:tc>
        <w:tc>
          <w:tcPr>
            <w:tcW w:w="525" w:type="dxa"/>
            <w:hideMark/>
          </w:tcPr>
          <w:p w:rsidR="00ED12A8" w:rsidRPr="0045227B" w:rsidRDefault="00ED12A8">
            <w:pPr>
              <w:rPr>
                <w:rFonts w:eastAsia="Times New Roman"/>
                <w:sz w:val="18"/>
                <w:szCs w:val="18"/>
              </w:rPr>
            </w:pPr>
          </w:p>
        </w:tc>
        <w:tc>
          <w:tcPr>
            <w:tcW w:w="1229" w:type="dxa"/>
            <w:hideMark/>
          </w:tcPr>
          <w:p w:rsidR="00ED12A8" w:rsidRPr="0045227B" w:rsidRDefault="00ED12A8">
            <w:pPr>
              <w:rPr>
                <w:rFonts w:eastAsia="Times New Roman"/>
                <w:sz w:val="18"/>
                <w:szCs w:val="18"/>
              </w:rPr>
            </w:pPr>
          </w:p>
        </w:tc>
        <w:tc>
          <w:tcPr>
            <w:tcW w:w="913" w:type="dxa"/>
            <w:hideMark/>
          </w:tcPr>
          <w:p w:rsidR="00ED12A8" w:rsidRPr="0045227B" w:rsidRDefault="00ED12A8">
            <w:pPr>
              <w:rPr>
                <w:rFonts w:eastAsia="Times New Roman"/>
                <w:sz w:val="18"/>
                <w:szCs w:val="18"/>
              </w:rPr>
            </w:pPr>
          </w:p>
        </w:tc>
        <w:tc>
          <w:tcPr>
            <w:tcW w:w="554" w:type="dxa"/>
            <w:hideMark/>
          </w:tcPr>
          <w:p w:rsidR="00ED12A8" w:rsidRPr="0045227B" w:rsidRDefault="00ED12A8">
            <w:pPr>
              <w:rPr>
                <w:rFonts w:eastAsia="Times New Roman"/>
                <w:sz w:val="18"/>
                <w:szCs w:val="18"/>
              </w:rPr>
            </w:pPr>
          </w:p>
        </w:tc>
        <w:tc>
          <w:tcPr>
            <w:tcW w:w="1152" w:type="dxa"/>
            <w:hideMark/>
          </w:tcPr>
          <w:p w:rsidR="00ED12A8" w:rsidRPr="0045227B" w:rsidRDefault="00ED12A8">
            <w:pPr>
              <w:rPr>
                <w:rFonts w:eastAsia="Times New Roman"/>
                <w:sz w:val="18"/>
                <w:szCs w:val="18"/>
              </w:rPr>
            </w:pPr>
          </w:p>
        </w:tc>
        <w:tc>
          <w:tcPr>
            <w:tcW w:w="962" w:type="dxa"/>
            <w:hideMark/>
          </w:tcPr>
          <w:p w:rsidR="00ED12A8" w:rsidRPr="0045227B" w:rsidRDefault="00ED12A8">
            <w:pPr>
              <w:rPr>
                <w:rFonts w:eastAsia="Times New Roman"/>
                <w:sz w:val="18"/>
                <w:szCs w:val="18"/>
              </w:rPr>
            </w:pPr>
          </w:p>
        </w:tc>
      </w:tr>
      <w:tr w:rsidR="0045227B" w:rsidRPr="0045227B" w:rsidTr="0045227B">
        <w:trPr>
          <w:tblHeader/>
          <w:jc w:val="center"/>
        </w:trPr>
        <w:tc>
          <w:tcPr>
            <w:tcW w:w="3377" w:type="dxa"/>
            <w:hideMark/>
          </w:tcPr>
          <w:p w:rsidR="00ED12A8" w:rsidRPr="0045227B" w:rsidRDefault="00555858">
            <w:pPr>
              <w:rPr>
                <w:rFonts w:eastAsia="Times New Roman"/>
                <w:sz w:val="18"/>
                <w:szCs w:val="18"/>
              </w:rPr>
            </w:pPr>
            <w:r w:rsidRPr="0045227B">
              <w:rPr>
                <w:rStyle w:val="simple"/>
                <w:rFonts w:eastAsia="Times New Roman"/>
                <w:sz w:val="18"/>
                <w:szCs w:val="18"/>
              </w:rPr>
              <w:t>Living together with in-laws</w:t>
            </w:r>
          </w:p>
        </w:tc>
        <w:tc>
          <w:tcPr>
            <w:tcW w:w="688" w:type="dxa"/>
            <w:hideMark/>
          </w:tcPr>
          <w:p w:rsidR="00ED12A8" w:rsidRPr="0045227B" w:rsidRDefault="00555858">
            <w:pPr>
              <w:rPr>
                <w:rFonts w:eastAsia="Times New Roman"/>
                <w:sz w:val="18"/>
                <w:szCs w:val="18"/>
              </w:rPr>
            </w:pPr>
            <w:r w:rsidRPr="0045227B">
              <w:rPr>
                <w:rStyle w:val="simple"/>
                <w:rFonts w:eastAsia="Times New Roman"/>
                <w:sz w:val="18"/>
                <w:szCs w:val="18"/>
              </w:rPr>
              <w:t>1.41</w:t>
            </w:r>
          </w:p>
        </w:tc>
        <w:tc>
          <w:tcPr>
            <w:tcW w:w="1029" w:type="dxa"/>
            <w:hideMark/>
          </w:tcPr>
          <w:p w:rsidR="00ED12A8" w:rsidRPr="0045227B" w:rsidRDefault="00555858">
            <w:pPr>
              <w:rPr>
                <w:rFonts w:eastAsia="Times New Roman"/>
                <w:sz w:val="18"/>
                <w:szCs w:val="18"/>
              </w:rPr>
            </w:pPr>
            <w:r w:rsidRPr="0045227B">
              <w:rPr>
                <w:rStyle w:val="simple"/>
                <w:rFonts w:eastAsia="Times New Roman"/>
                <w:sz w:val="18"/>
                <w:szCs w:val="18"/>
              </w:rPr>
              <w:t>0.55-3.60</w:t>
            </w:r>
          </w:p>
        </w:tc>
        <w:tc>
          <w:tcPr>
            <w:tcW w:w="761" w:type="dxa"/>
            <w:hideMark/>
          </w:tcPr>
          <w:p w:rsidR="00ED12A8" w:rsidRPr="0045227B" w:rsidRDefault="00555858">
            <w:pPr>
              <w:rPr>
                <w:rFonts w:eastAsia="Times New Roman"/>
                <w:sz w:val="18"/>
                <w:szCs w:val="18"/>
              </w:rPr>
            </w:pPr>
            <w:r w:rsidRPr="0045227B">
              <w:rPr>
                <w:rStyle w:val="simple"/>
                <w:rFonts w:eastAsia="Times New Roman"/>
                <w:sz w:val="18"/>
                <w:szCs w:val="18"/>
              </w:rPr>
              <w:t>0.472</w:t>
            </w:r>
          </w:p>
        </w:tc>
        <w:tc>
          <w:tcPr>
            <w:tcW w:w="657" w:type="dxa"/>
            <w:hideMark/>
          </w:tcPr>
          <w:p w:rsidR="00ED12A8" w:rsidRPr="0045227B" w:rsidRDefault="00ED12A8">
            <w:pPr>
              <w:rPr>
                <w:rFonts w:eastAsia="Times New Roman"/>
                <w:sz w:val="18"/>
                <w:szCs w:val="18"/>
              </w:rPr>
            </w:pPr>
          </w:p>
        </w:tc>
        <w:tc>
          <w:tcPr>
            <w:tcW w:w="1228" w:type="dxa"/>
            <w:hideMark/>
          </w:tcPr>
          <w:p w:rsidR="00ED12A8" w:rsidRPr="0045227B" w:rsidRDefault="00ED12A8">
            <w:pPr>
              <w:rPr>
                <w:rFonts w:eastAsia="Times New Roman"/>
                <w:sz w:val="18"/>
                <w:szCs w:val="18"/>
              </w:rPr>
            </w:pPr>
          </w:p>
        </w:tc>
        <w:tc>
          <w:tcPr>
            <w:tcW w:w="909" w:type="dxa"/>
            <w:hideMark/>
          </w:tcPr>
          <w:p w:rsidR="00ED12A8" w:rsidRPr="0045227B" w:rsidRDefault="00ED12A8">
            <w:pPr>
              <w:rPr>
                <w:rFonts w:eastAsia="Times New Roman"/>
                <w:sz w:val="18"/>
                <w:szCs w:val="18"/>
              </w:rPr>
            </w:pPr>
          </w:p>
        </w:tc>
        <w:tc>
          <w:tcPr>
            <w:tcW w:w="525" w:type="dxa"/>
            <w:hideMark/>
          </w:tcPr>
          <w:p w:rsidR="00ED12A8" w:rsidRPr="0045227B" w:rsidRDefault="00555858">
            <w:pPr>
              <w:rPr>
                <w:rFonts w:eastAsia="Times New Roman"/>
                <w:sz w:val="18"/>
                <w:szCs w:val="18"/>
              </w:rPr>
            </w:pPr>
            <w:r w:rsidRPr="0045227B">
              <w:rPr>
                <w:rStyle w:val="simple"/>
                <w:rFonts w:eastAsia="Times New Roman"/>
                <w:sz w:val="18"/>
                <w:szCs w:val="18"/>
              </w:rPr>
              <w:t>2.41</w:t>
            </w:r>
          </w:p>
        </w:tc>
        <w:tc>
          <w:tcPr>
            <w:tcW w:w="1229" w:type="dxa"/>
            <w:hideMark/>
          </w:tcPr>
          <w:p w:rsidR="00ED12A8" w:rsidRPr="0045227B" w:rsidRDefault="00555858">
            <w:pPr>
              <w:rPr>
                <w:rFonts w:eastAsia="Times New Roman"/>
                <w:sz w:val="18"/>
                <w:szCs w:val="18"/>
              </w:rPr>
            </w:pPr>
            <w:r w:rsidRPr="0045227B">
              <w:rPr>
                <w:rStyle w:val="simple"/>
                <w:rFonts w:eastAsia="Times New Roman"/>
                <w:sz w:val="18"/>
                <w:szCs w:val="18"/>
              </w:rPr>
              <w:t>0.86-6.75</w:t>
            </w:r>
          </w:p>
        </w:tc>
        <w:tc>
          <w:tcPr>
            <w:tcW w:w="913" w:type="dxa"/>
            <w:hideMark/>
          </w:tcPr>
          <w:p w:rsidR="00ED12A8" w:rsidRPr="0045227B" w:rsidRDefault="00555858">
            <w:pPr>
              <w:rPr>
                <w:rFonts w:eastAsia="Times New Roman"/>
                <w:sz w:val="18"/>
                <w:szCs w:val="18"/>
              </w:rPr>
            </w:pPr>
            <w:r w:rsidRPr="0045227B">
              <w:rPr>
                <w:rStyle w:val="simple"/>
                <w:rFonts w:eastAsia="Times New Roman"/>
                <w:sz w:val="18"/>
                <w:szCs w:val="18"/>
              </w:rPr>
              <w:t>0.096</w:t>
            </w:r>
          </w:p>
        </w:tc>
        <w:tc>
          <w:tcPr>
            <w:tcW w:w="554" w:type="dxa"/>
            <w:hideMark/>
          </w:tcPr>
          <w:p w:rsidR="00ED12A8" w:rsidRPr="0045227B" w:rsidRDefault="00ED12A8">
            <w:pPr>
              <w:rPr>
                <w:rFonts w:eastAsia="Times New Roman"/>
                <w:sz w:val="18"/>
                <w:szCs w:val="18"/>
              </w:rPr>
            </w:pPr>
          </w:p>
        </w:tc>
        <w:tc>
          <w:tcPr>
            <w:tcW w:w="1152" w:type="dxa"/>
            <w:hideMark/>
          </w:tcPr>
          <w:p w:rsidR="00ED12A8" w:rsidRPr="0045227B" w:rsidRDefault="00ED12A8">
            <w:pPr>
              <w:rPr>
                <w:rFonts w:eastAsia="Times New Roman"/>
                <w:sz w:val="18"/>
                <w:szCs w:val="18"/>
              </w:rPr>
            </w:pPr>
          </w:p>
        </w:tc>
        <w:tc>
          <w:tcPr>
            <w:tcW w:w="962" w:type="dxa"/>
            <w:hideMark/>
          </w:tcPr>
          <w:p w:rsidR="00ED12A8" w:rsidRPr="0045227B" w:rsidRDefault="00ED12A8">
            <w:pPr>
              <w:rPr>
                <w:rFonts w:eastAsia="Times New Roman"/>
                <w:sz w:val="18"/>
                <w:szCs w:val="18"/>
              </w:rPr>
            </w:pPr>
          </w:p>
        </w:tc>
      </w:tr>
    </w:tbl>
    <w:p w:rsidR="00ED12A8" w:rsidRPr="0045227B" w:rsidRDefault="00555858">
      <w:pPr>
        <w:jc w:val="both"/>
        <w:rPr>
          <w:rFonts w:eastAsia="Times New Roman"/>
          <w:sz w:val="20"/>
          <w:szCs w:val="20"/>
        </w:rPr>
      </w:pPr>
      <w:proofErr w:type="gramStart"/>
      <w:r w:rsidRPr="0045227B">
        <w:rPr>
          <w:rFonts w:eastAsia="Times New Roman"/>
          <w:sz w:val="20"/>
          <w:szCs w:val="20"/>
          <w:vertAlign w:val="superscript"/>
        </w:rPr>
        <w:t>1</w:t>
      </w:r>
      <w:r w:rsidRPr="0045227B">
        <w:rPr>
          <w:rFonts w:eastAsia="Times New Roman"/>
          <w:sz w:val="20"/>
          <w:szCs w:val="20"/>
        </w:rPr>
        <w:t xml:space="preserve"> Living without partner.</w:t>
      </w:r>
      <w:proofErr w:type="gramEnd"/>
    </w:p>
    <w:p w:rsidR="00ED12A8" w:rsidRPr="0045227B" w:rsidRDefault="00555858">
      <w:pPr>
        <w:jc w:val="both"/>
        <w:rPr>
          <w:rFonts w:eastAsia="Times New Roman"/>
          <w:sz w:val="20"/>
          <w:szCs w:val="20"/>
        </w:rPr>
      </w:pPr>
      <w:proofErr w:type="gramStart"/>
      <w:r w:rsidRPr="0045227B">
        <w:rPr>
          <w:rFonts w:eastAsia="Times New Roman"/>
          <w:sz w:val="20"/>
          <w:szCs w:val="20"/>
          <w:vertAlign w:val="superscript"/>
        </w:rPr>
        <w:t>2</w:t>
      </w:r>
      <w:r w:rsidRPr="0045227B">
        <w:rPr>
          <w:rFonts w:eastAsia="Times New Roman"/>
          <w:sz w:val="20"/>
          <w:szCs w:val="20"/>
        </w:rPr>
        <w:t xml:space="preserve"> 3months before pregnancy.</w:t>
      </w:r>
      <w:proofErr w:type="gramEnd"/>
    </w:p>
    <w:p w:rsidR="00806E03" w:rsidRPr="0045227B" w:rsidRDefault="00806E03" w:rsidP="00806E03">
      <w:pPr>
        <w:jc w:val="both"/>
        <w:rPr>
          <w:rFonts w:eastAsia="Times New Roman"/>
          <w:sz w:val="20"/>
          <w:szCs w:val="20"/>
        </w:rPr>
      </w:pPr>
      <w:r w:rsidRPr="00806E03">
        <w:rPr>
          <w:rFonts w:eastAsia="Times New Roman"/>
          <w:color w:val="FF0000"/>
          <w:sz w:val="20"/>
          <w:szCs w:val="20"/>
          <w:vertAlign w:val="superscript"/>
        </w:rPr>
        <w:t>3</w:t>
      </w:r>
      <w:r w:rsidRPr="0045227B">
        <w:rPr>
          <w:rFonts w:eastAsia="Times New Roman"/>
          <w:sz w:val="20"/>
          <w:szCs w:val="20"/>
        </w:rPr>
        <w:t xml:space="preserve"> Collected postpartum.</w:t>
      </w:r>
    </w:p>
    <w:p w:rsidR="00ED12A8" w:rsidRPr="0045227B" w:rsidRDefault="00806E03">
      <w:pPr>
        <w:jc w:val="both"/>
        <w:rPr>
          <w:rFonts w:eastAsia="Times New Roman"/>
          <w:sz w:val="20"/>
          <w:szCs w:val="20"/>
        </w:rPr>
      </w:pPr>
      <w:r w:rsidRPr="00806E03">
        <w:rPr>
          <w:rStyle w:val="bold"/>
          <w:rFonts w:eastAsia="Times New Roman"/>
          <w:color w:val="FF0000"/>
          <w:sz w:val="18"/>
          <w:szCs w:val="18"/>
        </w:rPr>
        <w:t>*</w:t>
      </w:r>
      <w:r w:rsidR="00555858" w:rsidRPr="0045227B">
        <w:rPr>
          <w:rFonts w:eastAsia="Times New Roman"/>
          <w:sz w:val="20"/>
          <w:szCs w:val="20"/>
        </w:rPr>
        <w:t>Model 1-3: multiple logistic regression analyses with adjusted OR for included variables.</w:t>
      </w:r>
    </w:p>
    <w:p w:rsidR="00ED12A8" w:rsidRPr="0045227B" w:rsidRDefault="00ED12A8">
      <w:pPr>
        <w:jc w:val="both"/>
        <w:rPr>
          <w:rFonts w:eastAsia="Times New Roman"/>
          <w:sz w:val="20"/>
          <w:szCs w:val="20"/>
        </w:rPr>
      </w:pPr>
    </w:p>
    <w:p w:rsidR="00753086" w:rsidRDefault="00753086">
      <w:pPr>
        <w:pStyle w:val="NormalWeb"/>
        <w:jc w:val="both"/>
        <w:sectPr w:rsidR="00753086" w:rsidSect="0045227B">
          <w:pgSz w:w="16834" w:h="11909" w:orient="landscape"/>
          <w:pgMar w:top="1260" w:right="1440" w:bottom="1440" w:left="1440" w:header="720" w:footer="720" w:gutter="0"/>
          <w:cols w:space="720"/>
          <w:docGrid w:linePitch="360"/>
        </w:sectPr>
      </w:pPr>
    </w:p>
    <w:p w:rsidR="00ED12A8" w:rsidRDefault="00555858">
      <w:pPr>
        <w:pStyle w:val="NormalWeb"/>
        <w:jc w:val="both"/>
      </w:pPr>
      <w:r>
        <w:lastRenderedPageBreak/>
        <w:t>In Model 2, with additional adjustment for SEP and other available variables potentially reflecting social support (living with in-laws or with own parents), the ORs of the Middle Easterners and South Asians were reduced by 16-18% (Middle Easterners: 2.44; 95% CI: (1.07-5.57); South Asians: 2.25; 95% CI: (1.07-4.72)), but still remained strong and significant, indicating less residual confounding in this model (R</w:t>
      </w:r>
      <w:r>
        <w:rPr>
          <w:vertAlign w:val="superscript"/>
        </w:rPr>
        <w:t>2</w:t>
      </w:r>
      <w:r>
        <w:t xml:space="preserve"> 20.7%). In both model 1 and 2, reporting ≥ 3 recent adverse life events (six months before inclusion), a history of depression and poor subjective health three months before conception were robust and significant risk factors. Single parenthood was borderline significant in the last model (p = 0.06). In model 2, living with in-laws seemed to increase the risk of depression (OR 2.41; 95% CI: (0.86-6.75)), but did not reach significance (p = 0.096). When replacing living with in-laws with living with one’s own parents, the effect of family structure was the opposite, indicating a trend towards protection, although not significant.</w:t>
      </w:r>
    </w:p>
    <w:p w:rsidR="00ED12A8" w:rsidRDefault="00555858">
      <w:pPr>
        <w:pStyle w:val="NormalWeb"/>
        <w:jc w:val="both"/>
      </w:pPr>
      <w:r>
        <w:t>To investigate our secondary aim, we replaced ethnicity by the PCA variable for overall level of integration (Model 3), due to the strong correlation between markers of social integration and ethnicity. In the alternative modelling strategy, the variable reflecting social integration was significant (OR = 1.84; 95% CI: (1.07-3.17)), including history of depression, recent adverse life events and poor subjective health three months before conception, although the total explained variance in this model was slightly reduced (R</w:t>
      </w:r>
      <w:r>
        <w:rPr>
          <w:vertAlign w:val="superscript"/>
        </w:rPr>
        <w:t>2</w:t>
      </w:r>
      <w:r>
        <w:t xml:space="preserve"> 18.9%).</w:t>
      </w:r>
    </w:p>
    <w:p w:rsidR="00ED12A8" w:rsidRDefault="00555858">
      <w:pPr>
        <w:pStyle w:val="NormalWeb"/>
        <w:jc w:val="both"/>
      </w:pPr>
      <w:r>
        <w:t xml:space="preserve">To examine which of the individual items related to social integration contributed most to the model, we performed separate analyses within the subgroup of ethnic minority women. The PCA variable for level of social integration in Model 3 was replaced sequentially by the following variables one-at-a-time: 1) self-reported abilities in Norwegian, 2) time of residence in Norway, 3) </w:t>
      </w:r>
      <w:r>
        <w:rPr>
          <w:rStyle w:val="italic"/>
        </w:rPr>
        <w:t>how often during the last year the participant read Norwegian newspapers/</w:t>
      </w:r>
      <w:r>
        <w:t xml:space="preserve"> watched Norwegian TV, 4) was visited by an ethnic Norwegian. Only reading Norwegian newspapers/watching Norwegian TV “never” or “less than once a week” during the last year was independently associated with depression in pregnancy (results not shown).</w:t>
      </w:r>
    </w:p>
    <w:p w:rsidR="00ED12A8" w:rsidRDefault="00555858">
      <w:pPr>
        <w:pStyle w:val="NormalWeb"/>
        <w:jc w:val="both"/>
      </w:pPr>
      <w:r>
        <w:t>In the sensitivity analyses using a stricter definition with EPDS sum score ≥ 12 as the primary dependent variable, results remained relatively unchanged. Specifically, risk of depression was independently associated with ethnic minority background (OR = 3.3, P = 0.007), self-reported history of depression and recent adverse life advents. With an EPDS cut-off value of ≥ 12, the R</w:t>
      </w:r>
      <w:r>
        <w:rPr>
          <w:vertAlign w:val="superscript"/>
        </w:rPr>
        <w:t>2</w:t>
      </w:r>
      <w:r>
        <w:t xml:space="preserve"> was 22.4% when using the same variables as in Model 2.</w:t>
      </w:r>
    </w:p>
    <w:p w:rsidR="00ED12A8" w:rsidRDefault="00555858">
      <w:pPr>
        <w:pStyle w:val="h1"/>
      </w:pPr>
      <w:r>
        <w:t>Discussion</w:t>
      </w:r>
    </w:p>
    <w:p w:rsidR="00ED12A8" w:rsidRDefault="00555858">
      <w:pPr>
        <w:pStyle w:val="NormalWeb"/>
        <w:jc w:val="both"/>
      </w:pPr>
      <w:r>
        <w:t>Our study adds to the sparse literature about depression in pregnancy among multi-ethnic populations. We found that depression in pregnancy (defined as an EPDS score ≥ 10), was twice as prevalent in ethnic minority women as Western Europeans. However, this increased risk did not apply equally to all groups of ethnic minority women. Middle Eastern and South Asian women had a significantly higher OR than the other minority women and Western Europeans, even after adjusting for known risk factors, including SEP. A history of depression, adverse life events and poor subjective health prior to pregnancy were independent risk factors, while single parenthood was borderline significant.</w:t>
      </w:r>
    </w:p>
    <w:p w:rsidR="00ED12A8" w:rsidRDefault="00555858">
      <w:pPr>
        <w:pStyle w:val="NormalWeb"/>
        <w:jc w:val="both"/>
      </w:pPr>
      <w:r>
        <w:t xml:space="preserve">When replaced by ethnicity, level of social integration functioned as a significant risk factor for depression in pregnancy, in addition to a history of depression, adverse life events and poor subjective health before pregnancy. Specifically, results indicated that some aspects of </w:t>
      </w:r>
      <w:r>
        <w:lastRenderedPageBreak/>
        <w:t>social integration, such as reading Norwegian newspapers or watching Norwegian TV never or less than once a week, may serve as a proxy for factors related to integration that mediate the increased risk of depression observed in ethnic minority women.</w:t>
      </w:r>
    </w:p>
    <w:p w:rsidR="00ED12A8" w:rsidRDefault="00555858">
      <w:pPr>
        <w:pStyle w:val="NormalWeb"/>
        <w:jc w:val="both"/>
      </w:pPr>
      <w:r>
        <w:t>Most previous studies have used an EPDS score ≥10 as a proxy for depression. In a Norwegian study of postpartum women to establish the validity of the EPDS against clinical diagnostic interviews and other screening instruments, an EPDS score of ≥10 had a sensitivity of 100% and specificity of 87% [46], compared to a sensitivity of 95% for major depression and a specificity of 93% for the English version [48]. However, false positives might be expected when using the EPDS as a screening instrument in clinical practice, thereby necessitating a clinical evaluation or diagnostic test to identify cases of clinical depression in need of treatment. In this regard, women with EPDS ≥10 are not necessarily clinically depressed, but have an increased level of depressive symptoms, which in turn implies a higher risk of depression. As our aim was to compare the symptom load in different ethnic groups in Europe mainly with Asian and African origin, living in the same residential area in the capital of Norway, we used the same cut-off value for all the pregnant women. Some researchers have employed a stricter EPDS score ≥12 [29], thus we also performed sensitivity analyses with this threshold. Results were essentially unchanged, with similar effect estimates, despite loss of power.</w:t>
      </w:r>
    </w:p>
    <w:p w:rsidR="00ED12A8" w:rsidRDefault="00555858">
      <w:pPr>
        <w:pStyle w:val="NormalWeb"/>
        <w:jc w:val="both"/>
      </w:pPr>
      <w:r>
        <w:t>Prevalence estimates of depression in pregnancy differ substantially across studies, likely attributable to population heterogeneity, but also due to methodological differences such as choice of measurement [51</w:t>
      </w:r>
      <w:proofErr w:type="gramStart"/>
      <w:r>
        <w:t>,52</w:t>
      </w:r>
      <w:proofErr w:type="gramEnd"/>
      <w:r>
        <w:t>]. Our findings are in accordance with a recent Cochrane meta-analysis of 21 studies [3], which reported that the prevalence of depression in pregnancy ranged from 7.4% in the first trimester to 12.8% in the second trimester, with a mean prevalence rate of 10.7%. Very few studies report results stratified by ethnicity, and this review failed to report the prevalence in minority groups. However, one study found that ethnic minority origin, specifically Asian, was associated with high EPDS scores [53]. A Swedish study found a significantly higher adjusted OR for depression in non-native speakers compared to women speaking the native language [24]</w:t>
      </w:r>
      <w:r>
        <w:rPr>
          <w:rStyle w:val="italic"/>
        </w:rPr>
        <w:t>.</w:t>
      </w:r>
      <w:r>
        <w:t xml:space="preserve"> An Italian study investigating the prevalence of depression in pregnancy (EPDS ≥10) found a prevalence rate of 21.9% among the total sample, which included 7.5% of participants with a non-Italian background [54]</w:t>
      </w:r>
      <w:r>
        <w:rPr>
          <w:rStyle w:val="italic"/>
        </w:rPr>
        <w:t>.</w:t>
      </w:r>
      <w:r>
        <w:t xml:space="preserve"> Women with depressive symptoms were more likely to be non-Italians and unemployed, with greater socioeconomic stress. Another Italian multi-centre, cross-sectional study similarly reported that a higher risk of depressive symptoms was associated with an ethnic minority background, a history of depression, being single and unemployment [55]</w:t>
      </w:r>
      <w:r>
        <w:rPr>
          <w:rStyle w:val="italic"/>
        </w:rPr>
        <w:t>.</w:t>
      </w:r>
      <w:r>
        <w:t xml:space="preserve"> The Born in Bradford study of pregnant women used the General Health Questionnaire (GHQ-28), and found that ethnic minorities had higher risk of depression. Struggling financially, and for some ethnic groups not being part of the work force, also increased the risk of poor mental health [23]. While it is well-documented that a history of affective disorders is a strong risk factor for postpartum depression, only few articles have investigated the association between a history of depression and depression during pregnancy [3]. We found a strong association between a history of depression and depressive symptoms in pregnancy, regardless of ethnicity.</w:t>
      </w:r>
    </w:p>
    <w:p w:rsidR="00ED12A8" w:rsidRDefault="00555858">
      <w:pPr>
        <w:pStyle w:val="NormalWeb"/>
        <w:jc w:val="both"/>
      </w:pPr>
      <w:r>
        <w:t>When comparing our results from pregnancy with studies using the EPDS instrument from countries where the ethnic minorities in Oslo originate from, they mostly report higher rates. We identified studies from Middle-East reporting prevalence rates from 19% to 57% [56-59]. Similarly, studies from Pakistan reported prevalence rates of depression to be 25 % [60</w:t>
      </w:r>
      <w:proofErr w:type="gramStart"/>
      <w:r>
        <w:t>,61</w:t>
      </w:r>
      <w:proofErr w:type="gramEnd"/>
      <w:r>
        <w:t xml:space="preserve">], but a recent study from Punjab, where most Pakistanis in Norway originally come from, </w:t>
      </w:r>
      <w:r>
        <w:lastRenderedPageBreak/>
        <w:t>reported even higher rates [62]. We did not find studies from the Tamil population in Sri-Lanka, only one for postpartum depression in India [63]</w:t>
      </w:r>
      <w:r>
        <w:rPr>
          <w:rStyle w:val="italic"/>
        </w:rPr>
        <w:t>.</w:t>
      </w:r>
      <w:r>
        <w:t xml:space="preserve"> However, direct comparison is difficult due to methodological issues, not least the representativeness of included samples. Contextual factors also differ considerably.</w:t>
      </w:r>
    </w:p>
    <w:p w:rsidR="00ED12A8" w:rsidRDefault="00555858">
      <w:pPr>
        <w:pStyle w:val="NormalWeb"/>
        <w:jc w:val="both"/>
      </w:pPr>
      <w:r>
        <w:t>Our study has several strengths. It is based upon a cohort design with a population-based sample including a high proportion of ethnic minorities, and the attendance rate was high. We have succeeded in including illiterate and recently immigrated women by adapting the study methods to the needs of these women [26]. The results are considered generalizable to the total cohort of 823 women included in the STORK-</w:t>
      </w:r>
      <w:proofErr w:type="spellStart"/>
      <w:r>
        <w:t>Groruddalen</w:t>
      </w:r>
      <w:proofErr w:type="spellEnd"/>
      <w:r>
        <w:t xml:space="preserve"> study, as no significant differences between participants and the those with missing data om EPDS (n = 74) were found.</w:t>
      </w:r>
    </w:p>
    <w:p w:rsidR="00ED12A8" w:rsidRDefault="00555858">
      <w:pPr>
        <w:pStyle w:val="NormalWeb"/>
        <w:jc w:val="both"/>
      </w:pPr>
      <w:r>
        <w:t>We also have information on a broad range of socioeconomic measures, family structure, variables related to level of social integration, and we have applied an etiological approach. To our knowledge, only a few studies have explored depression in pregnancy among multi-ethnic populations and even fewer have presented analyses for several ethnic minority groups.</w:t>
      </w:r>
    </w:p>
    <w:p w:rsidR="00ED12A8" w:rsidRDefault="00555858">
      <w:pPr>
        <w:pStyle w:val="NormalWeb"/>
        <w:jc w:val="both"/>
      </w:pPr>
      <w:r>
        <w:t>Some manifestations of pregnancy, particularly during the first trimester, may mirror symptoms of depression, such as fatigue, poor appetite and sleeping problems. As a consequence, depressed pregnant women often tend to have higher scores than non-pregnant women on available diagnostic tools, such as the Centre for Epidemiologic Studies Depression Scale (CES-D) [5]. The EPDS does not include any somatic symptoms, rendering this measure methodologically advantageous to use among pregnant women [64</w:t>
      </w:r>
      <w:proofErr w:type="gramStart"/>
      <w:r>
        <w:t>,65</w:t>
      </w:r>
      <w:proofErr w:type="gramEnd"/>
      <w:r>
        <w:t>].</w:t>
      </w:r>
    </w:p>
    <w:p w:rsidR="00ED12A8" w:rsidRDefault="00555858">
      <w:pPr>
        <w:pStyle w:val="NormalWeb"/>
        <w:jc w:val="both"/>
      </w:pPr>
      <w:r>
        <w:t>In our study, the EPDS was administered through interviews performed by certified study midwives. However, some women may have felt uncomfortable reporting problems in a face-to-face setting with a health care professional. If so, this may have led to underreporting and consequently an underestimate of the prevalence of depression. This may have been the case in a previous Norwegian study of postpartum depression in Pakistani women, in which the prevalence of depression was found to be 7.6 % [66]. In that study, the women were interviewed at home, with family members, sometimes the husband, being present or acting as translators.</w:t>
      </w:r>
    </w:p>
    <w:p w:rsidR="00ED12A8" w:rsidRDefault="00555858">
      <w:pPr>
        <w:pStyle w:val="NormalWeb"/>
        <w:jc w:val="both"/>
      </w:pPr>
      <w:r>
        <w:t>Nevertheless, there are some noteworthy limitations. We did not have direct measures of social support, but relied upon indirect measures like single parenthood and family structure. Further, information about history of depression was self-reported and collected in the postpartum period, thereby subject to various recall and memory biases associated with retrospective self-report. We cannot rule out that if a woman had her first depressive symptoms ever in the index pregnancy, she refers to this episode. However, it seems unlikely that this may be the case for many women, and that this category error would have a large effect on the estimates. The small number in some ethnic minority groups limited study power and the number of categories included in the regression analyses, especially for the sensitivity analyses using EPDS ≥12 as the cut-off score. Heterogeneity within the relatively broad ethnic groups probably exists, and our grouping strategy may have also masked important within-group differences.</w:t>
      </w:r>
    </w:p>
    <w:p w:rsidR="00ED12A8" w:rsidRDefault="00555858">
      <w:pPr>
        <w:pStyle w:val="NormalWeb"/>
        <w:jc w:val="both"/>
      </w:pPr>
      <w:r>
        <w:t xml:space="preserve">Lastly, an important issue for any study of multi-ethnic populations is the cross-cultural validity of the instrument used. The expression of depression may differ according to cultural </w:t>
      </w:r>
      <w:r>
        <w:lastRenderedPageBreak/>
        <w:t>context [47]. The EPDS instrument has been used extensively worldwide, with established psychometric properties across different contexts and cultures. We used official and validated versions to the extent possible. The Urdu version of the EPDS has been used in Pakistan with good psychometric properties [67]. The Tamil version has been validated in a Tamil population in India with high specificity and sensitivity [68], the Turkish version has satisfactory validity when used in a Turkish sample [69]. The Arabic and Vietnamese versions have also been validated and found to be reliable [47]. Although we used the official translation for the Somalian language, we were unable to find any validation studies for this version. We did not have the resources to formally validate our Sorani version of the instrument.</w:t>
      </w:r>
    </w:p>
    <w:p w:rsidR="00ED12A8" w:rsidRDefault="00555858">
      <w:pPr>
        <w:pStyle w:val="NormalWeb"/>
        <w:jc w:val="both"/>
      </w:pPr>
      <w:r>
        <w:t>As in the rest of Europe, there is an increasing number of ethnic minorities in Norway. The awareness in health policy is growing about the importance of adapting services for these groups to meet their needs according to legal standards of equity, but little is known about the actual quality of care. When planning services for the ethnic minority groups, knowledge about relevant risk factors are necessary to design preventive and management strategies. The EPDS measure is so far not recommended as a routine screening test for antenatal and postpartum depression, as more studies about the effect of such a procedure on patient important outcomes in the Norwegian context is requested.</w:t>
      </w:r>
    </w:p>
    <w:p w:rsidR="00ED12A8" w:rsidRDefault="00555858">
      <w:pPr>
        <w:pStyle w:val="h1"/>
      </w:pPr>
      <w:r>
        <w:t>Conclusion</w:t>
      </w:r>
    </w:p>
    <w:p w:rsidR="00ED12A8" w:rsidRDefault="00555858">
      <w:pPr>
        <w:pStyle w:val="NormalWeb"/>
        <w:jc w:val="both"/>
      </w:pPr>
      <w:r>
        <w:t>Although Middle Eastern and South Asian women were more likely to be depressed, a low SEP partly explained their increased risk. Irrespective of ethnicity, a history of depression, recent adverse life events and poor subjective health remained independent risk factors for depression. Data also suggest that a low level of social integration may mediate the increased risk observed in ethnic minorities. However, cultural factors or other unmeasured variables may likely contribute to risk status. In sum, our findings point to the potential for improving mental health among high-risk ethnic minority pregnant women by improving socioeconomic conditions and facilitating integration.</w:t>
      </w:r>
    </w:p>
    <w:p w:rsidR="00ED12A8" w:rsidRDefault="00555858">
      <w:pPr>
        <w:pStyle w:val="h1"/>
      </w:pPr>
      <w:r>
        <w:t>Abbreviation</w:t>
      </w:r>
    </w:p>
    <w:p w:rsidR="00ED12A8" w:rsidRDefault="00555858">
      <w:pPr>
        <w:pStyle w:val="NormalWeb"/>
      </w:pPr>
      <w:r>
        <w:rPr>
          <w:rStyle w:val="simple"/>
        </w:rPr>
        <w:t>CHC</w:t>
      </w:r>
      <w:r w:rsidR="00917B56">
        <w:t xml:space="preserve">: </w:t>
      </w:r>
      <w:r>
        <w:rPr>
          <w:rStyle w:val="simple"/>
        </w:rPr>
        <w:t>Child Health Clinics</w:t>
      </w:r>
      <w:r>
        <w:t xml:space="preserve">; </w:t>
      </w:r>
      <w:r>
        <w:rPr>
          <w:rStyle w:val="simple"/>
        </w:rPr>
        <w:t>GP</w:t>
      </w:r>
      <w:r w:rsidR="00917B56">
        <w:t xml:space="preserve">: </w:t>
      </w:r>
      <w:r>
        <w:rPr>
          <w:rStyle w:val="simple"/>
        </w:rPr>
        <w:t>General practitioner</w:t>
      </w:r>
      <w:r>
        <w:t xml:space="preserve">; </w:t>
      </w:r>
      <w:r>
        <w:rPr>
          <w:rStyle w:val="simple"/>
        </w:rPr>
        <w:t>GW</w:t>
      </w:r>
      <w:r w:rsidR="00917B56">
        <w:t xml:space="preserve">: </w:t>
      </w:r>
      <w:r>
        <w:rPr>
          <w:rStyle w:val="simple"/>
        </w:rPr>
        <w:t>Gestational week</w:t>
      </w:r>
      <w:r>
        <w:t xml:space="preserve">; </w:t>
      </w:r>
      <w:r>
        <w:rPr>
          <w:rStyle w:val="simple"/>
        </w:rPr>
        <w:t>SD</w:t>
      </w:r>
      <w:r w:rsidR="00917B56">
        <w:t xml:space="preserve">: </w:t>
      </w:r>
      <w:r>
        <w:rPr>
          <w:rStyle w:val="simple"/>
        </w:rPr>
        <w:t>Standard deviation</w:t>
      </w:r>
      <w:r>
        <w:t xml:space="preserve">; </w:t>
      </w:r>
      <w:r>
        <w:rPr>
          <w:rStyle w:val="simple"/>
        </w:rPr>
        <w:t>EPDS</w:t>
      </w:r>
      <w:r w:rsidR="00917B56">
        <w:t xml:space="preserve">: </w:t>
      </w:r>
      <w:r>
        <w:rPr>
          <w:rStyle w:val="simple"/>
        </w:rPr>
        <w:t>Edinburgh Postnatal Depression Scale</w:t>
      </w:r>
      <w:r>
        <w:t xml:space="preserve">; </w:t>
      </w:r>
      <w:r>
        <w:rPr>
          <w:rStyle w:val="simple"/>
        </w:rPr>
        <w:t>IQR</w:t>
      </w:r>
      <w:r w:rsidR="00917B56">
        <w:t xml:space="preserve">: </w:t>
      </w:r>
      <w:r>
        <w:rPr>
          <w:rStyle w:val="simple"/>
        </w:rPr>
        <w:t>Interquartile range</w:t>
      </w:r>
      <w:r>
        <w:t xml:space="preserve">; </w:t>
      </w:r>
      <w:r>
        <w:rPr>
          <w:rStyle w:val="simple"/>
        </w:rPr>
        <w:t>SEP</w:t>
      </w:r>
      <w:r w:rsidR="00917B56">
        <w:t xml:space="preserve">: </w:t>
      </w:r>
      <w:r>
        <w:rPr>
          <w:rStyle w:val="simple"/>
        </w:rPr>
        <w:t>Socioeconomic position</w:t>
      </w:r>
      <w:r>
        <w:t xml:space="preserve">; </w:t>
      </w:r>
      <w:r>
        <w:rPr>
          <w:rStyle w:val="simple"/>
        </w:rPr>
        <w:t>PCA</w:t>
      </w:r>
      <w:r w:rsidR="00917B56">
        <w:t xml:space="preserve">: </w:t>
      </w:r>
      <w:r>
        <w:rPr>
          <w:rStyle w:val="simple"/>
        </w:rPr>
        <w:t>Principal component analysis</w:t>
      </w:r>
      <w:r>
        <w:t xml:space="preserve">; </w:t>
      </w:r>
      <w:r>
        <w:rPr>
          <w:rStyle w:val="simple"/>
        </w:rPr>
        <w:t>OR</w:t>
      </w:r>
      <w:r w:rsidR="00917B56">
        <w:t xml:space="preserve">: </w:t>
      </w:r>
      <w:r>
        <w:rPr>
          <w:rStyle w:val="simple"/>
        </w:rPr>
        <w:t>Odds ratio</w:t>
      </w:r>
      <w:r>
        <w:t xml:space="preserve">; </w:t>
      </w:r>
      <w:r>
        <w:rPr>
          <w:rStyle w:val="simple"/>
        </w:rPr>
        <w:t>GHQ</w:t>
      </w:r>
      <w:r w:rsidR="00917B56">
        <w:t xml:space="preserve">: </w:t>
      </w:r>
      <w:r>
        <w:rPr>
          <w:rStyle w:val="simple"/>
        </w:rPr>
        <w:t>General health questionnaire</w:t>
      </w:r>
      <w:r>
        <w:t xml:space="preserve">; </w:t>
      </w:r>
      <w:r>
        <w:rPr>
          <w:rStyle w:val="simple"/>
        </w:rPr>
        <w:t>CES-D</w:t>
      </w:r>
      <w:r w:rsidR="00917B56">
        <w:t xml:space="preserve">: </w:t>
      </w:r>
      <w:r>
        <w:rPr>
          <w:rStyle w:val="simple"/>
        </w:rPr>
        <w:t>Center for epidemiologic studies scale</w:t>
      </w:r>
    </w:p>
    <w:p w:rsidR="00ED12A8" w:rsidRDefault="00555858">
      <w:pPr>
        <w:pStyle w:val="h1"/>
      </w:pPr>
      <w:r>
        <w:t>Competing interest</w:t>
      </w:r>
    </w:p>
    <w:p w:rsidR="00ED12A8" w:rsidRDefault="00555858">
      <w:pPr>
        <w:jc w:val="both"/>
        <w:rPr>
          <w:rFonts w:eastAsia="Times New Roman"/>
        </w:rPr>
      </w:pPr>
      <w:r>
        <w:rPr>
          <w:rFonts w:eastAsia="Times New Roman"/>
        </w:rPr>
        <w:t>The authors declare that they have no competing interest.</w:t>
      </w:r>
    </w:p>
    <w:p w:rsidR="00973131" w:rsidRDefault="00973131">
      <w:pPr>
        <w:rPr>
          <w:b/>
          <w:bCs/>
          <w:sz w:val="36"/>
          <w:szCs w:val="36"/>
        </w:rPr>
      </w:pPr>
      <w:r>
        <w:br w:type="page"/>
      </w:r>
    </w:p>
    <w:p w:rsidR="00ED12A8" w:rsidRDefault="00555858">
      <w:pPr>
        <w:pStyle w:val="h1"/>
      </w:pPr>
      <w:r>
        <w:lastRenderedPageBreak/>
        <w:t>Authors’ contributions</w:t>
      </w:r>
    </w:p>
    <w:p w:rsidR="00ED12A8" w:rsidRDefault="00555858">
      <w:pPr>
        <w:jc w:val="both"/>
        <w:rPr>
          <w:rFonts w:eastAsia="Times New Roman"/>
        </w:rPr>
      </w:pPr>
      <w:r>
        <w:rPr>
          <w:rFonts w:eastAsia="Times New Roman"/>
        </w:rPr>
        <w:t xml:space="preserve">NS performed the statistical analysis (except the PCA analyses, wrote the first draft and revised the paper, LS contributed with the data acquisition and performed the PCA analyses on socio-economic and integration variables, ME-G, KS, and EWM contributed with expert knowledge about the EPDS and other instruments to capture depression, and IH with the statistical advice. AKJ initiated and was the project leader of the STORK </w:t>
      </w:r>
      <w:proofErr w:type="spellStart"/>
      <w:r>
        <w:rPr>
          <w:rFonts w:eastAsia="Times New Roman"/>
        </w:rPr>
        <w:t>Groruddalen</w:t>
      </w:r>
      <w:proofErr w:type="spellEnd"/>
      <w:r>
        <w:rPr>
          <w:rFonts w:eastAsia="Times New Roman"/>
        </w:rPr>
        <w:t xml:space="preserve"> study. All authors contributed to the interpretation of data, revised the manuscript critically, checked for clarity and content, and approved the final version.</w:t>
      </w:r>
    </w:p>
    <w:p w:rsidR="00ED12A8" w:rsidRDefault="00555858">
      <w:pPr>
        <w:pStyle w:val="h1"/>
      </w:pPr>
      <w:r>
        <w:t>Acknowledgements</w:t>
      </w:r>
    </w:p>
    <w:p w:rsidR="00ED12A8" w:rsidRDefault="00555858">
      <w:pPr>
        <w:jc w:val="both"/>
        <w:rPr>
          <w:rFonts w:eastAsia="Times New Roman"/>
        </w:rPr>
      </w:pPr>
      <w:r>
        <w:rPr>
          <w:rFonts w:eastAsia="Times New Roman"/>
        </w:rPr>
        <w:t xml:space="preserve">The authors thank all the study participants. We also thank Johan </w:t>
      </w:r>
      <w:proofErr w:type="spellStart"/>
      <w:r>
        <w:rPr>
          <w:rFonts w:eastAsia="Times New Roman"/>
        </w:rPr>
        <w:t>Torper</w:t>
      </w:r>
      <w:proofErr w:type="spellEnd"/>
      <w:r>
        <w:rPr>
          <w:rFonts w:eastAsia="Times New Roman"/>
        </w:rPr>
        <w:t xml:space="preserve">, H S </w:t>
      </w:r>
      <w:proofErr w:type="spellStart"/>
      <w:r>
        <w:rPr>
          <w:rFonts w:eastAsia="Times New Roman"/>
        </w:rPr>
        <w:t>Hatlehol</w:t>
      </w:r>
      <w:proofErr w:type="spellEnd"/>
      <w:r>
        <w:rPr>
          <w:rFonts w:eastAsia="Times New Roman"/>
        </w:rPr>
        <w:t xml:space="preserve"> and the other study staff at the CHCs in </w:t>
      </w:r>
      <w:proofErr w:type="spellStart"/>
      <w:r>
        <w:rPr>
          <w:rFonts w:eastAsia="Times New Roman"/>
        </w:rPr>
        <w:t>Stovner</w:t>
      </w:r>
      <w:proofErr w:type="spellEnd"/>
      <w:r>
        <w:rPr>
          <w:rFonts w:eastAsia="Times New Roman"/>
        </w:rPr>
        <w:t xml:space="preserve">, </w:t>
      </w:r>
      <w:proofErr w:type="spellStart"/>
      <w:r>
        <w:rPr>
          <w:rFonts w:eastAsia="Times New Roman"/>
        </w:rPr>
        <w:t>Grorud</w:t>
      </w:r>
      <w:proofErr w:type="spellEnd"/>
      <w:r>
        <w:rPr>
          <w:rFonts w:eastAsia="Times New Roman"/>
        </w:rPr>
        <w:t xml:space="preserve"> and </w:t>
      </w:r>
      <w:proofErr w:type="spellStart"/>
      <w:r>
        <w:rPr>
          <w:rFonts w:eastAsia="Times New Roman"/>
        </w:rPr>
        <w:t>Bjerke</w:t>
      </w:r>
      <w:proofErr w:type="spellEnd"/>
      <w:r>
        <w:rPr>
          <w:rFonts w:eastAsia="Times New Roman"/>
        </w:rPr>
        <w:t xml:space="preserve"> districts in Oslo, and </w:t>
      </w:r>
      <w:proofErr w:type="spellStart"/>
      <w:r>
        <w:rPr>
          <w:rFonts w:eastAsia="Times New Roman"/>
        </w:rPr>
        <w:t>Haavard</w:t>
      </w:r>
      <w:proofErr w:type="spellEnd"/>
      <w:r>
        <w:rPr>
          <w:rFonts w:eastAsia="Times New Roman"/>
        </w:rPr>
        <w:t xml:space="preserve"> </w:t>
      </w:r>
      <w:proofErr w:type="spellStart"/>
      <w:r>
        <w:rPr>
          <w:rFonts w:eastAsia="Times New Roman"/>
        </w:rPr>
        <w:t>Skaaland</w:t>
      </w:r>
      <w:proofErr w:type="spellEnd"/>
      <w:r>
        <w:rPr>
          <w:rFonts w:eastAsia="Times New Roman"/>
        </w:rPr>
        <w:t xml:space="preserve">, </w:t>
      </w:r>
      <w:proofErr w:type="spellStart"/>
      <w:r>
        <w:rPr>
          <w:rFonts w:eastAsia="Times New Roman"/>
        </w:rPr>
        <w:t>Kjersti</w:t>
      </w:r>
      <w:proofErr w:type="spellEnd"/>
      <w:r>
        <w:rPr>
          <w:rFonts w:eastAsia="Times New Roman"/>
        </w:rPr>
        <w:t xml:space="preserve"> </w:t>
      </w:r>
      <w:proofErr w:type="spellStart"/>
      <w:r>
        <w:rPr>
          <w:rFonts w:eastAsia="Times New Roman"/>
        </w:rPr>
        <w:t>Mørkrid</w:t>
      </w:r>
      <w:proofErr w:type="spellEnd"/>
      <w:r>
        <w:rPr>
          <w:rFonts w:eastAsia="Times New Roman"/>
        </w:rPr>
        <w:t xml:space="preserve"> and </w:t>
      </w:r>
      <w:proofErr w:type="spellStart"/>
      <w:r>
        <w:rPr>
          <w:rFonts w:eastAsia="Times New Roman"/>
        </w:rPr>
        <w:t>Ragnhild</w:t>
      </w:r>
      <w:proofErr w:type="spellEnd"/>
      <w:r>
        <w:rPr>
          <w:rFonts w:eastAsia="Times New Roman"/>
        </w:rPr>
        <w:t xml:space="preserve"> </w:t>
      </w:r>
      <w:proofErr w:type="spellStart"/>
      <w:r>
        <w:rPr>
          <w:rFonts w:eastAsia="Times New Roman"/>
        </w:rPr>
        <w:t>Sørum</w:t>
      </w:r>
      <w:proofErr w:type="spellEnd"/>
      <w:r>
        <w:rPr>
          <w:rFonts w:eastAsia="Times New Roman"/>
        </w:rPr>
        <w:t xml:space="preserve"> Falk, Oslo University Hospital, for help with preparing the database and statistical analyses. Translation of information material and questionnaires was performed by the City Services Department, The Interpreting and Translating Service in Oslo.</w:t>
      </w:r>
    </w:p>
    <w:p w:rsidR="00ED12A8" w:rsidRPr="00973131" w:rsidRDefault="00555858">
      <w:pPr>
        <w:pStyle w:val="h4"/>
        <w:rPr>
          <w:b/>
          <w:i w:val="0"/>
          <w:sz w:val="36"/>
          <w:szCs w:val="36"/>
        </w:rPr>
      </w:pPr>
      <w:r w:rsidRPr="00973131">
        <w:rPr>
          <w:b/>
          <w:i w:val="0"/>
          <w:sz w:val="36"/>
          <w:szCs w:val="36"/>
        </w:rPr>
        <w:t>Funding</w:t>
      </w:r>
    </w:p>
    <w:p w:rsidR="00ED12A8" w:rsidRDefault="00555858">
      <w:pPr>
        <w:pStyle w:val="NormalWeb"/>
        <w:jc w:val="both"/>
      </w:pPr>
      <w:r>
        <w:t xml:space="preserve">The STORK </w:t>
      </w:r>
      <w:proofErr w:type="spellStart"/>
      <w:r>
        <w:t>Groruddalen</w:t>
      </w:r>
      <w:proofErr w:type="spellEnd"/>
      <w:r>
        <w:t xml:space="preserve"> research program was primarily funded by the Norwegian Research Council, with additional funding from The South-Eastern Norway Regional Health Authority, Norwegian Directorate of Health and collaborative partners in The City of Oslo, </w:t>
      </w:r>
      <w:proofErr w:type="spellStart"/>
      <w:r>
        <w:t>Stovner</w:t>
      </w:r>
      <w:proofErr w:type="spellEnd"/>
      <w:r>
        <w:t xml:space="preserve">, </w:t>
      </w:r>
      <w:proofErr w:type="spellStart"/>
      <w:r>
        <w:t>Grorud</w:t>
      </w:r>
      <w:proofErr w:type="spellEnd"/>
      <w:r>
        <w:t xml:space="preserve"> and </w:t>
      </w:r>
      <w:proofErr w:type="spellStart"/>
      <w:r>
        <w:t>Bjerke</w:t>
      </w:r>
      <w:proofErr w:type="spellEnd"/>
      <w:r>
        <w:t xml:space="preserve"> administrative districts. </w:t>
      </w:r>
      <w:proofErr w:type="spellStart"/>
      <w:r>
        <w:t>Nilam</w:t>
      </w:r>
      <w:proofErr w:type="spellEnd"/>
      <w:r>
        <w:t xml:space="preserve"> </w:t>
      </w:r>
      <w:proofErr w:type="spellStart"/>
      <w:r>
        <w:t>Shakeel</w:t>
      </w:r>
      <w:proofErr w:type="spellEnd"/>
      <w:r>
        <w:t xml:space="preserve"> received funding for a PhD grant through the Norwegian Research Fund for General Practice. The funder had no involvement in any aspects of the study.</w:t>
      </w:r>
    </w:p>
    <w:p w:rsidR="00ED12A8" w:rsidRDefault="00555858">
      <w:pPr>
        <w:pStyle w:val="h1"/>
      </w:pPr>
      <w:r>
        <w:t>References</w:t>
      </w:r>
    </w:p>
    <w:p w:rsidR="00ED12A8" w:rsidRDefault="00555858">
      <w:pPr>
        <w:pStyle w:val="citation"/>
        <w:jc w:val="both"/>
      </w:pPr>
      <w:r>
        <w:t xml:space="preserve">1. Leung BM, Kaplan BJ: </w:t>
      </w:r>
      <w:r>
        <w:rPr>
          <w:rStyle w:val="bold"/>
        </w:rPr>
        <w:t>Perinatal depression: prevalence, risks, and the nutrition link--a review of the literature.</w:t>
      </w:r>
      <w:r>
        <w:t xml:space="preserve"> </w:t>
      </w:r>
      <w:r>
        <w:rPr>
          <w:rStyle w:val="italic"/>
        </w:rPr>
        <w:t>J Am Diet Assoc</w:t>
      </w:r>
      <w:r>
        <w:t xml:space="preserve"> 2009, </w:t>
      </w:r>
      <w:r>
        <w:rPr>
          <w:rStyle w:val="bold"/>
        </w:rPr>
        <w:t>109</w:t>
      </w:r>
      <w:r>
        <w:t>(9)</w:t>
      </w:r>
      <w:r>
        <w:rPr>
          <w:rStyle w:val="bold"/>
        </w:rPr>
        <w:t>:</w:t>
      </w:r>
      <w:r>
        <w:t>1566–1575.</w:t>
      </w:r>
    </w:p>
    <w:p w:rsidR="00ED12A8" w:rsidRDefault="00555858">
      <w:pPr>
        <w:pStyle w:val="citation"/>
        <w:jc w:val="both"/>
      </w:pPr>
      <w:r>
        <w:t xml:space="preserve">2. Van den Bergh BRH, Mulder EJH, </w:t>
      </w:r>
      <w:proofErr w:type="spellStart"/>
      <w:r>
        <w:t>Mennes</w:t>
      </w:r>
      <w:proofErr w:type="spellEnd"/>
      <w:r>
        <w:t xml:space="preserve"> M, Glover V, </w:t>
      </w:r>
      <w:r>
        <w:rPr>
          <w:rStyle w:val="italic"/>
        </w:rPr>
        <w:t>et al</w:t>
      </w:r>
      <w:r>
        <w:t xml:space="preserve">: </w:t>
      </w:r>
      <w:r>
        <w:rPr>
          <w:rStyle w:val="bold"/>
        </w:rPr>
        <w:t xml:space="preserve">Antenatal maternal anxiety and stress and the </w:t>
      </w:r>
      <w:proofErr w:type="spellStart"/>
      <w:r>
        <w:rPr>
          <w:rStyle w:val="bold"/>
        </w:rPr>
        <w:t>neurobehavioural</w:t>
      </w:r>
      <w:proofErr w:type="spellEnd"/>
      <w:r>
        <w:rPr>
          <w:rStyle w:val="bold"/>
        </w:rPr>
        <w:t xml:space="preserve"> development of the fetus and child: links and possible mechanisms. </w:t>
      </w:r>
      <w:proofErr w:type="gramStart"/>
      <w:r>
        <w:rPr>
          <w:rStyle w:val="bold"/>
        </w:rPr>
        <w:t>A review.</w:t>
      </w:r>
      <w:proofErr w:type="gramEnd"/>
      <w:r>
        <w:t xml:space="preserve"> </w:t>
      </w:r>
      <w:proofErr w:type="spellStart"/>
      <w:r>
        <w:rPr>
          <w:rStyle w:val="italic"/>
        </w:rPr>
        <w:t>Neurosci</w:t>
      </w:r>
      <w:proofErr w:type="spellEnd"/>
      <w:r>
        <w:rPr>
          <w:rStyle w:val="italic"/>
        </w:rPr>
        <w:t xml:space="preserve"> </w:t>
      </w:r>
      <w:proofErr w:type="spellStart"/>
      <w:r>
        <w:rPr>
          <w:rStyle w:val="italic"/>
        </w:rPr>
        <w:t>Biobehav</w:t>
      </w:r>
      <w:proofErr w:type="spellEnd"/>
      <w:r>
        <w:rPr>
          <w:rStyle w:val="italic"/>
        </w:rPr>
        <w:t xml:space="preserve"> Rev</w:t>
      </w:r>
      <w:r>
        <w:t xml:space="preserve"> 2005, </w:t>
      </w:r>
      <w:r>
        <w:rPr>
          <w:rStyle w:val="bold"/>
        </w:rPr>
        <w:t>29</w:t>
      </w:r>
      <w:r>
        <w:t>(2)</w:t>
      </w:r>
      <w:r>
        <w:rPr>
          <w:rStyle w:val="bold"/>
        </w:rPr>
        <w:t>:</w:t>
      </w:r>
      <w:r>
        <w:t>237–258.</w:t>
      </w:r>
    </w:p>
    <w:p w:rsidR="00ED12A8" w:rsidRDefault="00555858">
      <w:pPr>
        <w:pStyle w:val="citation"/>
        <w:jc w:val="both"/>
      </w:pPr>
      <w:r>
        <w:t xml:space="preserve">3. Dennis CL, Allen K: </w:t>
      </w:r>
      <w:r>
        <w:rPr>
          <w:rStyle w:val="bold"/>
        </w:rPr>
        <w:t>Interventions (other than pharmacological, psychosocial or psychological) for treating antenatal depression.</w:t>
      </w:r>
      <w:r>
        <w:t xml:space="preserve"> </w:t>
      </w:r>
      <w:r>
        <w:rPr>
          <w:rStyle w:val="italic"/>
        </w:rPr>
        <w:t xml:space="preserve">Cochrane Database </w:t>
      </w:r>
      <w:proofErr w:type="spellStart"/>
      <w:r>
        <w:rPr>
          <w:rStyle w:val="italic"/>
        </w:rPr>
        <w:t>Syst</w:t>
      </w:r>
      <w:proofErr w:type="spellEnd"/>
      <w:r>
        <w:rPr>
          <w:rStyle w:val="italic"/>
        </w:rPr>
        <w:t xml:space="preserve"> Rev</w:t>
      </w:r>
      <w:r>
        <w:t xml:space="preserve"> 2008, </w:t>
      </w:r>
      <w:r>
        <w:rPr>
          <w:rStyle w:val="bold"/>
        </w:rPr>
        <w:t>4:</w:t>
      </w:r>
      <w:r>
        <w:t>CD006795.</w:t>
      </w:r>
    </w:p>
    <w:p w:rsidR="00ED12A8" w:rsidRDefault="00555858">
      <w:pPr>
        <w:pStyle w:val="citation"/>
        <w:jc w:val="both"/>
      </w:pPr>
      <w:r>
        <w:t xml:space="preserve">4. </w:t>
      </w:r>
      <w:proofErr w:type="spellStart"/>
      <w:r>
        <w:t>Goedhart</w:t>
      </w:r>
      <w:proofErr w:type="spellEnd"/>
      <w:r>
        <w:t xml:space="preserve"> G, </w:t>
      </w:r>
      <w:proofErr w:type="spellStart"/>
      <w:r>
        <w:t>Snijders</w:t>
      </w:r>
      <w:proofErr w:type="spellEnd"/>
      <w:r>
        <w:t xml:space="preserve"> AC, </w:t>
      </w:r>
      <w:proofErr w:type="spellStart"/>
      <w:r>
        <w:t>Hesselink</w:t>
      </w:r>
      <w:proofErr w:type="spellEnd"/>
      <w:r>
        <w:t xml:space="preserve"> AE, Van </w:t>
      </w:r>
      <w:proofErr w:type="spellStart"/>
      <w:r>
        <w:t>Poppel</w:t>
      </w:r>
      <w:proofErr w:type="spellEnd"/>
      <w:r>
        <w:t xml:space="preserve"> MN, </w:t>
      </w:r>
      <w:proofErr w:type="spellStart"/>
      <w:proofErr w:type="gramStart"/>
      <w:r>
        <w:t>Bonsel</w:t>
      </w:r>
      <w:proofErr w:type="spellEnd"/>
      <w:proofErr w:type="gramEnd"/>
      <w:r>
        <w:t xml:space="preserve"> GJ, </w:t>
      </w:r>
      <w:proofErr w:type="spellStart"/>
      <w:r>
        <w:t>Vrijkotte</w:t>
      </w:r>
      <w:proofErr w:type="spellEnd"/>
      <w:r>
        <w:t xml:space="preserve"> TGM: </w:t>
      </w:r>
      <w:r>
        <w:rPr>
          <w:rStyle w:val="bold"/>
        </w:rPr>
        <w:t>Maternal depressive symptoms in relation to perinatal mortality and morbidity: results from a large multiethnic cohort study.</w:t>
      </w:r>
      <w:r>
        <w:t xml:space="preserve"> </w:t>
      </w:r>
      <w:proofErr w:type="spellStart"/>
      <w:r>
        <w:rPr>
          <w:rStyle w:val="italic"/>
        </w:rPr>
        <w:t>Psychosom</w:t>
      </w:r>
      <w:proofErr w:type="spellEnd"/>
      <w:r>
        <w:rPr>
          <w:rStyle w:val="italic"/>
        </w:rPr>
        <w:t xml:space="preserve"> Med</w:t>
      </w:r>
      <w:r>
        <w:t xml:space="preserve"> 2010, </w:t>
      </w:r>
      <w:r>
        <w:rPr>
          <w:rStyle w:val="bold"/>
        </w:rPr>
        <w:t>72</w:t>
      </w:r>
      <w:r>
        <w:t>(8)</w:t>
      </w:r>
      <w:r>
        <w:rPr>
          <w:rStyle w:val="bold"/>
        </w:rPr>
        <w:t>:</w:t>
      </w:r>
      <w:r>
        <w:t>769–776.</w:t>
      </w:r>
    </w:p>
    <w:p w:rsidR="00ED12A8" w:rsidRDefault="00555858">
      <w:pPr>
        <w:pStyle w:val="citation"/>
        <w:jc w:val="both"/>
      </w:pPr>
      <w:r>
        <w:t xml:space="preserve">5. Orr ST, Miller CA: </w:t>
      </w:r>
      <w:r>
        <w:rPr>
          <w:rStyle w:val="bold"/>
        </w:rPr>
        <w:t>Maternal depressive symptoms and the risk of poor pregnancy outcome. Review of the literature and preliminary findings.</w:t>
      </w:r>
      <w:r>
        <w:t xml:space="preserve"> </w:t>
      </w:r>
      <w:proofErr w:type="spellStart"/>
      <w:r>
        <w:rPr>
          <w:rStyle w:val="italic"/>
        </w:rPr>
        <w:t>Epidemiol</w:t>
      </w:r>
      <w:proofErr w:type="spellEnd"/>
      <w:r>
        <w:rPr>
          <w:rStyle w:val="italic"/>
        </w:rPr>
        <w:t xml:space="preserve"> Rev</w:t>
      </w:r>
      <w:r>
        <w:t xml:space="preserve"> 1995, </w:t>
      </w:r>
      <w:r>
        <w:rPr>
          <w:rStyle w:val="bold"/>
        </w:rPr>
        <w:t>17</w:t>
      </w:r>
      <w:r>
        <w:t>(1)</w:t>
      </w:r>
      <w:r>
        <w:rPr>
          <w:rStyle w:val="bold"/>
        </w:rPr>
        <w:t>:</w:t>
      </w:r>
      <w:r>
        <w:t>165–171.</w:t>
      </w:r>
    </w:p>
    <w:p w:rsidR="00ED12A8" w:rsidRDefault="00555858">
      <w:pPr>
        <w:pStyle w:val="citation"/>
        <w:jc w:val="both"/>
      </w:pPr>
      <w:r>
        <w:lastRenderedPageBreak/>
        <w:t xml:space="preserve">6. Dayan J, </w:t>
      </w:r>
      <w:proofErr w:type="spellStart"/>
      <w:r>
        <w:t>Creveuil</w:t>
      </w:r>
      <w:proofErr w:type="spellEnd"/>
      <w:r>
        <w:t xml:space="preserve"> C, Dreyfus M, </w:t>
      </w:r>
      <w:proofErr w:type="spellStart"/>
      <w:r>
        <w:t>Herlicoviez</w:t>
      </w:r>
      <w:proofErr w:type="spellEnd"/>
      <w:r>
        <w:t xml:space="preserve"> M, </w:t>
      </w:r>
      <w:proofErr w:type="spellStart"/>
      <w:r>
        <w:t>Baleyte</w:t>
      </w:r>
      <w:proofErr w:type="spellEnd"/>
      <w:r>
        <w:t xml:space="preserve"> JM, </w:t>
      </w:r>
      <w:proofErr w:type="spellStart"/>
      <w:proofErr w:type="gramStart"/>
      <w:r>
        <w:t>O’Keane</w:t>
      </w:r>
      <w:proofErr w:type="spellEnd"/>
      <w:proofErr w:type="gramEnd"/>
      <w:r>
        <w:t xml:space="preserve"> V: </w:t>
      </w:r>
      <w:r>
        <w:rPr>
          <w:rStyle w:val="bold"/>
        </w:rPr>
        <w:t>Developmental model of depression applied to prenatal depression: role of present and past life events, past emotional disorders and pregnancy stress.</w:t>
      </w:r>
      <w:r>
        <w:t xml:space="preserve"> </w:t>
      </w:r>
      <w:proofErr w:type="spellStart"/>
      <w:r>
        <w:rPr>
          <w:rStyle w:val="italic"/>
        </w:rPr>
        <w:t>PLoS</w:t>
      </w:r>
      <w:proofErr w:type="spellEnd"/>
      <w:r>
        <w:rPr>
          <w:rStyle w:val="italic"/>
        </w:rPr>
        <w:t xml:space="preserve"> ONE</w:t>
      </w:r>
      <w:r>
        <w:t xml:space="preserve"> 2010, </w:t>
      </w:r>
      <w:r>
        <w:rPr>
          <w:rStyle w:val="bold"/>
        </w:rPr>
        <w:t>5</w:t>
      </w:r>
      <w:r>
        <w:t>(9)</w:t>
      </w:r>
      <w:r>
        <w:rPr>
          <w:rStyle w:val="bold"/>
        </w:rPr>
        <w:t>:</w:t>
      </w:r>
      <w:r>
        <w:t>e12942.</w:t>
      </w:r>
    </w:p>
    <w:p w:rsidR="00ED12A8" w:rsidRDefault="00555858">
      <w:pPr>
        <w:pStyle w:val="citation"/>
        <w:jc w:val="both"/>
      </w:pPr>
      <w:r>
        <w:t xml:space="preserve">7. Marcus SM, Flynn HA, Blow FC, </w:t>
      </w:r>
      <w:proofErr w:type="gramStart"/>
      <w:r>
        <w:t>Barry</w:t>
      </w:r>
      <w:proofErr w:type="gramEnd"/>
      <w:r>
        <w:t xml:space="preserve"> KL: </w:t>
      </w:r>
      <w:r>
        <w:rPr>
          <w:rStyle w:val="bold"/>
        </w:rPr>
        <w:t>Depressive symptoms among pregnant women screened in obstetrics settings.</w:t>
      </w:r>
      <w:r>
        <w:t xml:space="preserve"> </w:t>
      </w:r>
      <w:r>
        <w:rPr>
          <w:rStyle w:val="italic"/>
        </w:rPr>
        <w:t xml:space="preserve">J </w:t>
      </w:r>
      <w:proofErr w:type="spellStart"/>
      <w:r>
        <w:rPr>
          <w:rStyle w:val="italic"/>
        </w:rPr>
        <w:t>Womens</w:t>
      </w:r>
      <w:proofErr w:type="spellEnd"/>
      <w:r>
        <w:rPr>
          <w:rStyle w:val="italic"/>
        </w:rPr>
        <w:t xml:space="preserve"> Health (</w:t>
      </w:r>
      <w:proofErr w:type="spellStart"/>
      <w:r>
        <w:rPr>
          <w:rStyle w:val="italic"/>
        </w:rPr>
        <w:t>Larchmt</w:t>
      </w:r>
      <w:proofErr w:type="spellEnd"/>
      <w:r>
        <w:rPr>
          <w:rStyle w:val="italic"/>
        </w:rPr>
        <w:t>)</w:t>
      </w:r>
      <w:r>
        <w:t xml:space="preserve"> 2003, </w:t>
      </w:r>
      <w:r>
        <w:rPr>
          <w:rStyle w:val="bold"/>
        </w:rPr>
        <w:t>12</w:t>
      </w:r>
      <w:r>
        <w:t>(4)</w:t>
      </w:r>
      <w:r>
        <w:rPr>
          <w:rStyle w:val="bold"/>
        </w:rPr>
        <w:t>:</w:t>
      </w:r>
      <w:r>
        <w:t>373–380.</w:t>
      </w:r>
    </w:p>
    <w:p w:rsidR="00ED12A8" w:rsidRDefault="00555858">
      <w:pPr>
        <w:pStyle w:val="citation"/>
        <w:jc w:val="both"/>
      </w:pPr>
      <w:r>
        <w:t xml:space="preserve">8. </w:t>
      </w:r>
      <w:proofErr w:type="spellStart"/>
      <w:r>
        <w:t>Rubertsson</w:t>
      </w:r>
      <w:proofErr w:type="spellEnd"/>
      <w:r>
        <w:t xml:space="preserve"> C, </w:t>
      </w:r>
      <w:proofErr w:type="spellStart"/>
      <w:r>
        <w:t>Waldenström</w:t>
      </w:r>
      <w:proofErr w:type="spellEnd"/>
      <w:r>
        <w:t xml:space="preserve"> U, </w:t>
      </w:r>
      <w:proofErr w:type="spellStart"/>
      <w:r>
        <w:t>Wickberg</w:t>
      </w:r>
      <w:proofErr w:type="spellEnd"/>
      <w:r>
        <w:t xml:space="preserve"> B: </w:t>
      </w:r>
      <w:r>
        <w:rPr>
          <w:rStyle w:val="bold"/>
        </w:rPr>
        <w:t>Depressive mood in early pregnancy: Prevalence and women at risk in a national Swedish sample.</w:t>
      </w:r>
      <w:r>
        <w:t xml:space="preserve"> </w:t>
      </w:r>
      <w:proofErr w:type="gramStart"/>
      <w:r>
        <w:rPr>
          <w:rStyle w:val="italic"/>
        </w:rPr>
        <w:t xml:space="preserve">J </w:t>
      </w:r>
      <w:proofErr w:type="spellStart"/>
      <w:r>
        <w:rPr>
          <w:rStyle w:val="italic"/>
        </w:rPr>
        <w:t>Reprod</w:t>
      </w:r>
      <w:proofErr w:type="spellEnd"/>
      <w:r>
        <w:rPr>
          <w:rStyle w:val="italic"/>
        </w:rPr>
        <w:t xml:space="preserve"> Infant </w:t>
      </w:r>
      <w:proofErr w:type="spellStart"/>
      <w:r>
        <w:rPr>
          <w:rStyle w:val="italic"/>
        </w:rPr>
        <w:t>Psychol</w:t>
      </w:r>
      <w:proofErr w:type="spellEnd"/>
      <w:r>
        <w:t xml:space="preserve"> 2003, </w:t>
      </w:r>
      <w:r>
        <w:rPr>
          <w:rStyle w:val="bold"/>
        </w:rPr>
        <w:t>21</w:t>
      </w:r>
      <w:r>
        <w:t>(2)</w:t>
      </w:r>
      <w:r>
        <w:rPr>
          <w:rStyle w:val="bold"/>
        </w:rPr>
        <w:t>:</w:t>
      </w:r>
      <w:r>
        <w:t>113–123.</w:t>
      </w:r>
      <w:proofErr w:type="gramEnd"/>
    </w:p>
    <w:p w:rsidR="00ED12A8" w:rsidRDefault="00555858">
      <w:pPr>
        <w:pStyle w:val="citation"/>
        <w:jc w:val="both"/>
      </w:pPr>
      <w:r>
        <w:t xml:space="preserve">9. Harvey ST, Pun PK: </w:t>
      </w:r>
      <w:r>
        <w:rPr>
          <w:rStyle w:val="bold"/>
        </w:rPr>
        <w:t>Analysis of positive Edinburgh depression scale referrals to a consultation liaison psychiatry service in a two-year period.</w:t>
      </w:r>
      <w:r>
        <w:t xml:space="preserve"> </w:t>
      </w:r>
      <w:proofErr w:type="spellStart"/>
      <w:r>
        <w:rPr>
          <w:rStyle w:val="italic"/>
        </w:rPr>
        <w:t>Int</w:t>
      </w:r>
      <w:proofErr w:type="spellEnd"/>
      <w:r>
        <w:rPr>
          <w:rStyle w:val="italic"/>
        </w:rPr>
        <w:t xml:space="preserve"> J </w:t>
      </w:r>
      <w:proofErr w:type="spellStart"/>
      <w:r>
        <w:rPr>
          <w:rStyle w:val="italic"/>
        </w:rPr>
        <w:t>Ment</w:t>
      </w:r>
      <w:proofErr w:type="spellEnd"/>
      <w:r>
        <w:rPr>
          <w:rStyle w:val="italic"/>
        </w:rPr>
        <w:t xml:space="preserve"> Health </w:t>
      </w:r>
      <w:proofErr w:type="spellStart"/>
      <w:r>
        <w:rPr>
          <w:rStyle w:val="italic"/>
        </w:rPr>
        <w:t>Nurs</w:t>
      </w:r>
      <w:proofErr w:type="spellEnd"/>
      <w:r>
        <w:t xml:space="preserve"> 2007, </w:t>
      </w:r>
      <w:r>
        <w:rPr>
          <w:rStyle w:val="bold"/>
        </w:rPr>
        <w:t>16</w:t>
      </w:r>
      <w:r>
        <w:t>(3)</w:t>
      </w:r>
      <w:r>
        <w:rPr>
          <w:rStyle w:val="bold"/>
        </w:rPr>
        <w:t>:</w:t>
      </w:r>
      <w:r>
        <w:t>161–167.</w:t>
      </w:r>
    </w:p>
    <w:p w:rsidR="00ED12A8" w:rsidRDefault="00555858">
      <w:pPr>
        <w:pStyle w:val="citation"/>
        <w:jc w:val="both"/>
      </w:pPr>
      <w:r>
        <w:t xml:space="preserve">10. Eberhard-Gran M, Slinning K: </w:t>
      </w:r>
      <w:proofErr w:type="spellStart"/>
      <w:r>
        <w:rPr>
          <w:rStyle w:val="italic"/>
        </w:rPr>
        <w:t>Nedstemthet</w:t>
      </w:r>
      <w:proofErr w:type="spellEnd"/>
      <w:r>
        <w:rPr>
          <w:rStyle w:val="italic"/>
        </w:rPr>
        <w:t xml:space="preserve"> </w:t>
      </w:r>
      <w:proofErr w:type="spellStart"/>
      <w:proofErr w:type="gramStart"/>
      <w:r>
        <w:rPr>
          <w:rStyle w:val="italic"/>
        </w:rPr>
        <w:t>og</w:t>
      </w:r>
      <w:proofErr w:type="spellEnd"/>
      <w:proofErr w:type="gramEnd"/>
      <w:r>
        <w:rPr>
          <w:rStyle w:val="italic"/>
        </w:rPr>
        <w:t xml:space="preserve"> </w:t>
      </w:r>
      <w:proofErr w:type="spellStart"/>
      <w:r>
        <w:rPr>
          <w:rStyle w:val="italic"/>
        </w:rPr>
        <w:t>depresjon</w:t>
      </w:r>
      <w:proofErr w:type="spellEnd"/>
      <w:r>
        <w:rPr>
          <w:rStyle w:val="italic"/>
        </w:rPr>
        <w:t xml:space="preserve"> </w:t>
      </w:r>
      <w:proofErr w:type="spellStart"/>
      <w:r>
        <w:rPr>
          <w:rStyle w:val="italic"/>
        </w:rPr>
        <w:t>i</w:t>
      </w:r>
      <w:proofErr w:type="spellEnd"/>
      <w:r>
        <w:rPr>
          <w:rStyle w:val="italic"/>
        </w:rPr>
        <w:t xml:space="preserve"> </w:t>
      </w:r>
      <w:proofErr w:type="spellStart"/>
      <w:r>
        <w:rPr>
          <w:rStyle w:val="italic"/>
        </w:rPr>
        <w:t>forbindelse</w:t>
      </w:r>
      <w:proofErr w:type="spellEnd"/>
      <w:r>
        <w:rPr>
          <w:rStyle w:val="italic"/>
        </w:rPr>
        <w:t xml:space="preserve"> med </w:t>
      </w:r>
      <w:proofErr w:type="spellStart"/>
      <w:r>
        <w:rPr>
          <w:rStyle w:val="italic"/>
        </w:rPr>
        <w:t>fødsel</w:t>
      </w:r>
      <w:proofErr w:type="spellEnd"/>
      <w:r>
        <w:rPr>
          <w:rStyle w:val="italic"/>
        </w:rPr>
        <w:t xml:space="preserve"> (Depressed mood and depression associated with the birth).</w:t>
      </w:r>
      <w:r w:rsidR="00523A8F">
        <w:t xml:space="preserve"> </w:t>
      </w:r>
      <w:r>
        <w:t>2007.</w:t>
      </w:r>
    </w:p>
    <w:p w:rsidR="00ED12A8" w:rsidRDefault="00555858">
      <w:pPr>
        <w:pStyle w:val="citation"/>
        <w:jc w:val="both"/>
      </w:pPr>
      <w:r>
        <w:t xml:space="preserve">11. Eberhard-Gran M, </w:t>
      </w:r>
      <w:proofErr w:type="spellStart"/>
      <w:r>
        <w:t>Tambs</w:t>
      </w:r>
      <w:proofErr w:type="spellEnd"/>
      <w:r>
        <w:t xml:space="preserve"> K, </w:t>
      </w:r>
      <w:proofErr w:type="spellStart"/>
      <w:r>
        <w:t>Opjordsmoen</w:t>
      </w:r>
      <w:proofErr w:type="spellEnd"/>
      <w:r>
        <w:t xml:space="preserve"> S, </w:t>
      </w:r>
      <w:proofErr w:type="spellStart"/>
      <w:proofErr w:type="gramStart"/>
      <w:r>
        <w:t>Skrondal</w:t>
      </w:r>
      <w:proofErr w:type="spellEnd"/>
      <w:proofErr w:type="gramEnd"/>
      <w:r>
        <w:t xml:space="preserve"> A, </w:t>
      </w:r>
      <w:proofErr w:type="spellStart"/>
      <w:r>
        <w:t>Eskild</w:t>
      </w:r>
      <w:proofErr w:type="spellEnd"/>
      <w:r>
        <w:t xml:space="preserve"> A: </w:t>
      </w:r>
      <w:r>
        <w:rPr>
          <w:rStyle w:val="bold"/>
        </w:rPr>
        <w:t>Depression during pregnancy and after delivery: a repeated measurement study.</w:t>
      </w:r>
      <w:r>
        <w:t xml:space="preserve"> </w:t>
      </w:r>
      <w:r>
        <w:rPr>
          <w:rStyle w:val="italic"/>
        </w:rPr>
        <w:t xml:space="preserve">J </w:t>
      </w:r>
      <w:proofErr w:type="spellStart"/>
      <w:r>
        <w:rPr>
          <w:rStyle w:val="italic"/>
        </w:rPr>
        <w:t>Psychosom</w:t>
      </w:r>
      <w:proofErr w:type="spellEnd"/>
      <w:r>
        <w:rPr>
          <w:rStyle w:val="italic"/>
        </w:rPr>
        <w:t xml:space="preserve"> </w:t>
      </w:r>
      <w:proofErr w:type="spellStart"/>
      <w:r>
        <w:rPr>
          <w:rStyle w:val="italic"/>
        </w:rPr>
        <w:t>Obstet</w:t>
      </w:r>
      <w:proofErr w:type="spellEnd"/>
      <w:r>
        <w:rPr>
          <w:rStyle w:val="italic"/>
        </w:rPr>
        <w:t xml:space="preserve"> </w:t>
      </w:r>
      <w:proofErr w:type="spellStart"/>
      <w:r>
        <w:rPr>
          <w:rStyle w:val="italic"/>
        </w:rPr>
        <w:t>Gynaecol</w:t>
      </w:r>
      <w:proofErr w:type="spellEnd"/>
      <w:r>
        <w:t xml:space="preserve"> 2004, </w:t>
      </w:r>
      <w:r>
        <w:rPr>
          <w:rStyle w:val="bold"/>
        </w:rPr>
        <w:t>25</w:t>
      </w:r>
      <w:r>
        <w:t>(1)</w:t>
      </w:r>
      <w:r>
        <w:rPr>
          <w:rStyle w:val="bold"/>
        </w:rPr>
        <w:t>:</w:t>
      </w:r>
      <w:r>
        <w:t>15–21.</w:t>
      </w:r>
    </w:p>
    <w:p w:rsidR="00ED12A8" w:rsidRDefault="00555858">
      <w:pPr>
        <w:pStyle w:val="citation"/>
        <w:jc w:val="both"/>
      </w:pPr>
      <w:r>
        <w:t xml:space="preserve">12. </w:t>
      </w:r>
      <w:proofErr w:type="spellStart"/>
      <w:r>
        <w:t>Karlsen</w:t>
      </w:r>
      <w:proofErr w:type="spellEnd"/>
      <w:r>
        <w:t xml:space="preserve"> S, </w:t>
      </w:r>
      <w:proofErr w:type="spellStart"/>
      <w:r>
        <w:t>Nazroo</w:t>
      </w:r>
      <w:proofErr w:type="spellEnd"/>
      <w:r>
        <w:t xml:space="preserve"> JY: </w:t>
      </w:r>
      <w:r>
        <w:rPr>
          <w:rStyle w:val="bold"/>
        </w:rPr>
        <w:t>Relation between racial discrimination, social class, and health among ethnic minority groups.</w:t>
      </w:r>
      <w:r>
        <w:t xml:space="preserve"> </w:t>
      </w:r>
      <w:proofErr w:type="gramStart"/>
      <w:r>
        <w:rPr>
          <w:rStyle w:val="italic"/>
        </w:rPr>
        <w:t>Am</w:t>
      </w:r>
      <w:proofErr w:type="gramEnd"/>
      <w:r>
        <w:rPr>
          <w:rStyle w:val="italic"/>
        </w:rPr>
        <w:t xml:space="preserve"> J Public Health</w:t>
      </w:r>
      <w:r>
        <w:t xml:space="preserve"> 2002, </w:t>
      </w:r>
      <w:r>
        <w:rPr>
          <w:rStyle w:val="bold"/>
        </w:rPr>
        <w:t>92</w:t>
      </w:r>
      <w:r>
        <w:t>(4)</w:t>
      </w:r>
      <w:r>
        <w:rPr>
          <w:rStyle w:val="bold"/>
        </w:rPr>
        <w:t>:</w:t>
      </w:r>
      <w:r>
        <w:t>624–631.</w:t>
      </w:r>
    </w:p>
    <w:p w:rsidR="00ED12A8" w:rsidRDefault="00555858">
      <w:pPr>
        <w:pStyle w:val="citation"/>
        <w:jc w:val="both"/>
      </w:pPr>
      <w:r>
        <w:t xml:space="preserve">13. Williams DR: </w:t>
      </w:r>
      <w:r>
        <w:rPr>
          <w:rStyle w:val="bold"/>
        </w:rPr>
        <w:t xml:space="preserve">Race, socioeconomic status, and health. </w:t>
      </w:r>
      <w:proofErr w:type="gramStart"/>
      <w:r>
        <w:rPr>
          <w:rStyle w:val="bold"/>
        </w:rPr>
        <w:t>The added effects of racism and discrimination.</w:t>
      </w:r>
      <w:proofErr w:type="gramEnd"/>
      <w:r>
        <w:t xml:space="preserve"> </w:t>
      </w:r>
      <w:r>
        <w:rPr>
          <w:rStyle w:val="italic"/>
        </w:rPr>
        <w:t xml:space="preserve">Ann N Y </w:t>
      </w:r>
      <w:proofErr w:type="spellStart"/>
      <w:r>
        <w:rPr>
          <w:rStyle w:val="italic"/>
        </w:rPr>
        <w:t>Acad</w:t>
      </w:r>
      <w:proofErr w:type="spellEnd"/>
      <w:r>
        <w:rPr>
          <w:rStyle w:val="italic"/>
        </w:rPr>
        <w:t xml:space="preserve"> </w:t>
      </w:r>
      <w:proofErr w:type="spellStart"/>
      <w:r>
        <w:rPr>
          <w:rStyle w:val="italic"/>
        </w:rPr>
        <w:t>Sci</w:t>
      </w:r>
      <w:proofErr w:type="spellEnd"/>
      <w:r>
        <w:t xml:space="preserve"> 1999, </w:t>
      </w:r>
      <w:r>
        <w:rPr>
          <w:rStyle w:val="bold"/>
        </w:rPr>
        <w:t>896:</w:t>
      </w:r>
      <w:r>
        <w:t>173–188.</w:t>
      </w:r>
    </w:p>
    <w:p w:rsidR="00ED12A8" w:rsidRDefault="00555858">
      <w:pPr>
        <w:pStyle w:val="citation"/>
        <w:jc w:val="both"/>
      </w:pPr>
      <w:r>
        <w:t xml:space="preserve">14. Fung K, Dennis CL: </w:t>
      </w:r>
      <w:r>
        <w:rPr>
          <w:rStyle w:val="bold"/>
        </w:rPr>
        <w:t>Postpartum depression among immigrant women.</w:t>
      </w:r>
      <w:r>
        <w:t xml:space="preserve"> </w:t>
      </w:r>
      <w:proofErr w:type="spellStart"/>
      <w:r>
        <w:rPr>
          <w:rStyle w:val="italic"/>
        </w:rPr>
        <w:t>Curr</w:t>
      </w:r>
      <w:proofErr w:type="spellEnd"/>
      <w:r>
        <w:rPr>
          <w:rStyle w:val="italic"/>
        </w:rPr>
        <w:t xml:space="preserve"> </w:t>
      </w:r>
      <w:proofErr w:type="spellStart"/>
      <w:r>
        <w:rPr>
          <w:rStyle w:val="italic"/>
        </w:rPr>
        <w:t>Opin</w:t>
      </w:r>
      <w:proofErr w:type="spellEnd"/>
      <w:r>
        <w:rPr>
          <w:rStyle w:val="italic"/>
        </w:rPr>
        <w:t xml:space="preserve"> Psychiatry</w:t>
      </w:r>
      <w:r>
        <w:t xml:space="preserve"> 2010, </w:t>
      </w:r>
      <w:r>
        <w:rPr>
          <w:rStyle w:val="bold"/>
        </w:rPr>
        <w:t>23</w:t>
      </w:r>
      <w:r>
        <w:t>(4)</w:t>
      </w:r>
      <w:r>
        <w:rPr>
          <w:rStyle w:val="bold"/>
        </w:rPr>
        <w:t>:</w:t>
      </w:r>
      <w:r>
        <w:t>342–348.</w:t>
      </w:r>
    </w:p>
    <w:p w:rsidR="00ED12A8" w:rsidRDefault="00555858">
      <w:pPr>
        <w:pStyle w:val="citation"/>
        <w:jc w:val="both"/>
      </w:pPr>
      <w:r>
        <w:t xml:space="preserve">15. </w:t>
      </w:r>
      <w:proofErr w:type="spellStart"/>
      <w:r>
        <w:t>Bhugra</w:t>
      </w:r>
      <w:proofErr w:type="spellEnd"/>
      <w:r>
        <w:t xml:space="preserve"> D: </w:t>
      </w:r>
      <w:r>
        <w:rPr>
          <w:rStyle w:val="bold"/>
        </w:rPr>
        <w:t>Cultural identities and cultural congruency: a new model for evaluating mental distress in immigrants.</w:t>
      </w:r>
      <w:r>
        <w:t xml:space="preserve"> </w:t>
      </w:r>
      <w:proofErr w:type="spellStart"/>
      <w:r>
        <w:rPr>
          <w:rStyle w:val="italic"/>
        </w:rPr>
        <w:t>Acta</w:t>
      </w:r>
      <w:proofErr w:type="spellEnd"/>
      <w:r>
        <w:rPr>
          <w:rStyle w:val="italic"/>
        </w:rPr>
        <w:t xml:space="preserve"> </w:t>
      </w:r>
      <w:proofErr w:type="spellStart"/>
      <w:r>
        <w:rPr>
          <w:rStyle w:val="italic"/>
        </w:rPr>
        <w:t>Psychiatr</w:t>
      </w:r>
      <w:proofErr w:type="spellEnd"/>
      <w:r>
        <w:rPr>
          <w:rStyle w:val="italic"/>
        </w:rPr>
        <w:t xml:space="preserve"> </w:t>
      </w:r>
      <w:proofErr w:type="spellStart"/>
      <w:r>
        <w:rPr>
          <w:rStyle w:val="italic"/>
        </w:rPr>
        <w:t>Scand</w:t>
      </w:r>
      <w:proofErr w:type="spellEnd"/>
      <w:r>
        <w:t xml:space="preserve"> 2005, </w:t>
      </w:r>
      <w:r>
        <w:rPr>
          <w:rStyle w:val="bold"/>
        </w:rPr>
        <w:t>111</w:t>
      </w:r>
      <w:r>
        <w:t>(2)</w:t>
      </w:r>
      <w:r>
        <w:rPr>
          <w:rStyle w:val="bold"/>
        </w:rPr>
        <w:t>:</w:t>
      </w:r>
      <w:r>
        <w:t>84–93.</w:t>
      </w:r>
    </w:p>
    <w:p w:rsidR="00ED12A8" w:rsidRDefault="00555858">
      <w:pPr>
        <w:pStyle w:val="citation"/>
        <w:jc w:val="both"/>
      </w:pPr>
      <w:r>
        <w:t xml:space="preserve">16. </w:t>
      </w:r>
      <w:proofErr w:type="spellStart"/>
      <w:r>
        <w:t>Bhugra</w:t>
      </w:r>
      <w:proofErr w:type="spellEnd"/>
      <w:r>
        <w:t xml:space="preserve"> D, Becker MA: </w:t>
      </w:r>
      <w:r>
        <w:rPr>
          <w:rStyle w:val="bold"/>
        </w:rPr>
        <w:t>Migration, cultural bereavement and cultural identity.</w:t>
      </w:r>
      <w:r>
        <w:t xml:space="preserve"> </w:t>
      </w:r>
      <w:r>
        <w:rPr>
          <w:rStyle w:val="italic"/>
        </w:rPr>
        <w:t>World Psychiatry</w:t>
      </w:r>
      <w:r>
        <w:t xml:space="preserve"> 2005, </w:t>
      </w:r>
      <w:r>
        <w:rPr>
          <w:rStyle w:val="bold"/>
        </w:rPr>
        <w:t>4</w:t>
      </w:r>
      <w:r>
        <w:t>(1)</w:t>
      </w:r>
      <w:r>
        <w:rPr>
          <w:rStyle w:val="bold"/>
        </w:rPr>
        <w:t>:</w:t>
      </w:r>
      <w:r>
        <w:t>18–24.</w:t>
      </w:r>
    </w:p>
    <w:p w:rsidR="00ED12A8" w:rsidRDefault="00555858">
      <w:pPr>
        <w:pStyle w:val="citation"/>
        <w:jc w:val="both"/>
      </w:pPr>
      <w:r>
        <w:t xml:space="preserve">17. Eberhard-Gran M, </w:t>
      </w:r>
      <w:proofErr w:type="spellStart"/>
      <w:r>
        <w:t>Garthus-Niegel</w:t>
      </w:r>
      <w:proofErr w:type="spellEnd"/>
      <w:r>
        <w:t xml:space="preserve"> S, </w:t>
      </w:r>
      <w:proofErr w:type="spellStart"/>
      <w:r>
        <w:t>Garthus-Niegel</w:t>
      </w:r>
      <w:proofErr w:type="spellEnd"/>
      <w:r>
        <w:t xml:space="preserve"> K, </w:t>
      </w:r>
      <w:proofErr w:type="spellStart"/>
      <w:r>
        <w:t>Eskild</w:t>
      </w:r>
      <w:proofErr w:type="spellEnd"/>
      <w:r>
        <w:t xml:space="preserve"> A: </w:t>
      </w:r>
      <w:r>
        <w:rPr>
          <w:rStyle w:val="bold"/>
        </w:rPr>
        <w:t>Postnatal care: a cross-cultural and historical perspective.</w:t>
      </w:r>
      <w:r>
        <w:t xml:space="preserve"> </w:t>
      </w:r>
      <w:r>
        <w:rPr>
          <w:rStyle w:val="italic"/>
        </w:rPr>
        <w:t xml:space="preserve">Arch </w:t>
      </w:r>
      <w:proofErr w:type="spellStart"/>
      <w:r>
        <w:rPr>
          <w:rStyle w:val="italic"/>
        </w:rPr>
        <w:t>Womens</w:t>
      </w:r>
      <w:proofErr w:type="spellEnd"/>
      <w:r>
        <w:rPr>
          <w:rStyle w:val="italic"/>
        </w:rPr>
        <w:t xml:space="preserve"> </w:t>
      </w:r>
      <w:proofErr w:type="spellStart"/>
      <w:r>
        <w:rPr>
          <w:rStyle w:val="italic"/>
        </w:rPr>
        <w:t>Ment</w:t>
      </w:r>
      <w:proofErr w:type="spellEnd"/>
      <w:r>
        <w:rPr>
          <w:rStyle w:val="italic"/>
        </w:rPr>
        <w:t xml:space="preserve"> Health</w:t>
      </w:r>
      <w:r>
        <w:t xml:space="preserve"> 2010, </w:t>
      </w:r>
      <w:r>
        <w:rPr>
          <w:rStyle w:val="bold"/>
        </w:rPr>
        <w:t>13</w:t>
      </w:r>
      <w:r>
        <w:t>(6)</w:t>
      </w:r>
      <w:r>
        <w:rPr>
          <w:rStyle w:val="bold"/>
        </w:rPr>
        <w:t>:</w:t>
      </w:r>
      <w:r>
        <w:t>459–466.</w:t>
      </w:r>
    </w:p>
    <w:p w:rsidR="00ED12A8" w:rsidRDefault="00555858">
      <w:pPr>
        <w:pStyle w:val="citation"/>
        <w:jc w:val="both"/>
      </w:pPr>
      <w:r>
        <w:t xml:space="preserve">18. Edge D: </w:t>
      </w:r>
      <w:r>
        <w:rPr>
          <w:rStyle w:val="bold"/>
        </w:rPr>
        <w:t>Falling through the net - Black and minority ethnic women and perinatal mental healthcare: health professionals’ views.</w:t>
      </w:r>
      <w:r>
        <w:t xml:space="preserve"> </w:t>
      </w:r>
      <w:r>
        <w:rPr>
          <w:rStyle w:val="italic"/>
        </w:rPr>
        <w:t>Gen Hosp Psychiatry</w:t>
      </w:r>
      <w:r>
        <w:t xml:space="preserve"> 2010, </w:t>
      </w:r>
      <w:r>
        <w:rPr>
          <w:rStyle w:val="bold"/>
        </w:rPr>
        <w:t>32</w:t>
      </w:r>
      <w:r>
        <w:t>(1)</w:t>
      </w:r>
      <w:r>
        <w:rPr>
          <w:rStyle w:val="bold"/>
        </w:rPr>
        <w:t>:</w:t>
      </w:r>
      <w:r>
        <w:t>17–25.</w:t>
      </w:r>
    </w:p>
    <w:p w:rsidR="00ED12A8" w:rsidRPr="00FF4B68" w:rsidRDefault="00555858">
      <w:pPr>
        <w:pStyle w:val="citation"/>
        <w:jc w:val="both"/>
        <w:rPr>
          <w:color w:val="FF0000"/>
        </w:rPr>
      </w:pPr>
      <w:r>
        <w:t xml:space="preserve">19. Husain N, Cruickshank K, Husain M, Khan S, </w:t>
      </w:r>
      <w:proofErr w:type="spellStart"/>
      <w:proofErr w:type="gramStart"/>
      <w:r>
        <w:t>Tomenson</w:t>
      </w:r>
      <w:proofErr w:type="spellEnd"/>
      <w:proofErr w:type="gramEnd"/>
      <w:r>
        <w:t xml:space="preserve"> B, Rahman A: </w:t>
      </w:r>
      <w:r>
        <w:rPr>
          <w:rStyle w:val="bold"/>
        </w:rPr>
        <w:t>Social stress and depression during pregnancy and in the postnatal period in British Pakistani mothers: A cohort study</w:t>
      </w:r>
      <w:r>
        <w:t xml:space="preserve">. </w:t>
      </w:r>
      <w:r>
        <w:rPr>
          <w:rStyle w:val="italic"/>
        </w:rPr>
        <w:t xml:space="preserve">J Affect </w:t>
      </w:r>
      <w:proofErr w:type="spellStart"/>
      <w:r>
        <w:rPr>
          <w:rStyle w:val="italic"/>
        </w:rPr>
        <w:t>Disord</w:t>
      </w:r>
      <w:proofErr w:type="spellEnd"/>
      <w:r>
        <w:t>,</w:t>
      </w:r>
      <w:r w:rsidR="00954FFA">
        <w:t xml:space="preserve"> </w:t>
      </w:r>
      <w:r w:rsidR="00954FFA" w:rsidRPr="00FF4B68">
        <w:rPr>
          <w:color w:val="FF0000"/>
        </w:rPr>
        <w:t xml:space="preserve">2012 </w:t>
      </w:r>
      <w:r w:rsidR="00954FFA" w:rsidRPr="00FF4B68">
        <w:rPr>
          <w:b/>
          <w:noProof/>
          <w:color w:val="FF0000"/>
        </w:rPr>
        <w:t>140</w:t>
      </w:r>
      <w:r w:rsidR="00954FFA" w:rsidRPr="00FF4B68">
        <w:rPr>
          <w:noProof/>
          <w:color w:val="FF0000"/>
        </w:rPr>
        <w:t>(3): p. 268-276.</w:t>
      </w:r>
      <w:r w:rsidR="00954FFA" w:rsidRPr="00FF4B68">
        <w:rPr>
          <w:color w:val="FF0000"/>
        </w:rPr>
        <w:t xml:space="preserve"> </w:t>
      </w:r>
    </w:p>
    <w:p w:rsidR="00ED12A8" w:rsidRDefault="00555858">
      <w:pPr>
        <w:pStyle w:val="citation"/>
        <w:jc w:val="both"/>
      </w:pPr>
      <w:r>
        <w:t xml:space="preserve">20. </w:t>
      </w:r>
      <w:proofErr w:type="spellStart"/>
      <w:r>
        <w:t>Lansakara</w:t>
      </w:r>
      <w:proofErr w:type="spellEnd"/>
      <w:r>
        <w:t xml:space="preserve"> N, Brown SJ, </w:t>
      </w:r>
      <w:proofErr w:type="spellStart"/>
      <w:r>
        <w:t>Gartland</w:t>
      </w:r>
      <w:proofErr w:type="spellEnd"/>
      <w:r>
        <w:t xml:space="preserve"> D: </w:t>
      </w:r>
      <w:r>
        <w:rPr>
          <w:rStyle w:val="bold"/>
        </w:rPr>
        <w:t>Birth outcomes, postpartum health and primary care contacts of immigrant mothers in an Australian nulliparous pregnancy cohort study.</w:t>
      </w:r>
      <w:r>
        <w:t xml:space="preserve"> </w:t>
      </w:r>
      <w:proofErr w:type="spellStart"/>
      <w:r>
        <w:rPr>
          <w:rStyle w:val="italic"/>
        </w:rPr>
        <w:t>Matern</w:t>
      </w:r>
      <w:proofErr w:type="spellEnd"/>
      <w:r>
        <w:rPr>
          <w:rStyle w:val="italic"/>
        </w:rPr>
        <w:t xml:space="preserve"> Child Health J</w:t>
      </w:r>
      <w:r>
        <w:t xml:space="preserve"> 2010, </w:t>
      </w:r>
      <w:r>
        <w:rPr>
          <w:rStyle w:val="bold"/>
        </w:rPr>
        <w:t>14</w:t>
      </w:r>
      <w:r>
        <w:t>(5)</w:t>
      </w:r>
      <w:r>
        <w:rPr>
          <w:rStyle w:val="bold"/>
        </w:rPr>
        <w:t>:</w:t>
      </w:r>
      <w:r>
        <w:t>807–816.</w:t>
      </w:r>
    </w:p>
    <w:p w:rsidR="00ED12A8" w:rsidRDefault="00555858">
      <w:pPr>
        <w:pStyle w:val="citation"/>
        <w:jc w:val="both"/>
      </w:pPr>
      <w:r>
        <w:lastRenderedPageBreak/>
        <w:t xml:space="preserve">21. </w:t>
      </w:r>
      <w:proofErr w:type="spellStart"/>
      <w:r>
        <w:t>Miszkurka</w:t>
      </w:r>
      <w:proofErr w:type="spellEnd"/>
      <w:r>
        <w:t xml:space="preserve"> M, </w:t>
      </w:r>
      <w:proofErr w:type="spellStart"/>
      <w:r>
        <w:t>Goulet</w:t>
      </w:r>
      <w:proofErr w:type="spellEnd"/>
      <w:r>
        <w:t xml:space="preserve"> L, </w:t>
      </w:r>
      <w:proofErr w:type="spellStart"/>
      <w:proofErr w:type="gramStart"/>
      <w:r>
        <w:t>Zunzunegui</w:t>
      </w:r>
      <w:proofErr w:type="spellEnd"/>
      <w:proofErr w:type="gramEnd"/>
      <w:r>
        <w:t xml:space="preserve"> MV: </w:t>
      </w:r>
      <w:r>
        <w:rPr>
          <w:rStyle w:val="bold"/>
        </w:rPr>
        <w:t>Antenatal depressive symptoms among Canadian-born and immigrant women in Quebec: differential exposure and vulnerability to contextual risk factors.</w:t>
      </w:r>
      <w:r>
        <w:t xml:space="preserve"> </w:t>
      </w:r>
      <w:proofErr w:type="spellStart"/>
      <w:r>
        <w:rPr>
          <w:rStyle w:val="italic"/>
        </w:rPr>
        <w:t>Soc</w:t>
      </w:r>
      <w:proofErr w:type="spellEnd"/>
      <w:r>
        <w:rPr>
          <w:rStyle w:val="italic"/>
        </w:rPr>
        <w:t xml:space="preserve"> Psychiatry </w:t>
      </w:r>
      <w:proofErr w:type="spellStart"/>
      <w:r>
        <w:rPr>
          <w:rStyle w:val="italic"/>
        </w:rPr>
        <w:t>Psychiatr</w:t>
      </w:r>
      <w:proofErr w:type="spellEnd"/>
      <w:r>
        <w:rPr>
          <w:rStyle w:val="italic"/>
        </w:rPr>
        <w:t xml:space="preserve"> </w:t>
      </w:r>
      <w:proofErr w:type="spellStart"/>
      <w:r>
        <w:rPr>
          <w:rStyle w:val="italic"/>
        </w:rPr>
        <w:t>Epidemiol</w:t>
      </w:r>
      <w:proofErr w:type="spellEnd"/>
      <w:r>
        <w:t xml:space="preserve"> 2012, </w:t>
      </w:r>
      <w:r>
        <w:rPr>
          <w:rStyle w:val="bold"/>
        </w:rPr>
        <w:t>47</w:t>
      </w:r>
      <w:r>
        <w:t>(10)</w:t>
      </w:r>
      <w:r>
        <w:rPr>
          <w:rStyle w:val="bold"/>
        </w:rPr>
        <w:t>:</w:t>
      </w:r>
      <w:r>
        <w:t>1639–1648.</w:t>
      </w:r>
    </w:p>
    <w:p w:rsidR="00ED12A8" w:rsidRDefault="00555858">
      <w:pPr>
        <w:pStyle w:val="citation"/>
        <w:jc w:val="both"/>
      </w:pPr>
      <w:r>
        <w:t xml:space="preserve">22. </w:t>
      </w:r>
      <w:proofErr w:type="spellStart"/>
      <w:r>
        <w:t>Miszkurka</w:t>
      </w:r>
      <w:proofErr w:type="spellEnd"/>
      <w:r>
        <w:t xml:space="preserve"> M, </w:t>
      </w:r>
      <w:proofErr w:type="spellStart"/>
      <w:r>
        <w:t>Goulet</w:t>
      </w:r>
      <w:proofErr w:type="spellEnd"/>
      <w:r>
        <w:t xml:space="preserve"> L, </w:t>
      </w:r>
      <w:proofErr w:type="spellStart"/>
      <w:r>
        <w:t>Zunzunegui</w:t>
      </w:r>
      <w:proofErr w:type="spellEnd"/>
      <w:r>
        <w:t xml:space="preserve"> MV: </w:t>
      </w:r>
      <w:r>
        <w:rPr>
          <w:rStyle w:val="bold"/>
        </w:rPr>
        <w:t>Contributions of immigration to depressive symptoms among pregnant women in Canada.</w:t>
      </w:r>
      <w:r>
        <w:t xml:space="preserve"> </w:t>
      </w:r>
      <w:r>
        <w:rPr>
          <w:rStyle w:val="italic"/>
        </w:rPr>
        <w:t>Can J Public Health</w:t>
      </w:r>
      <w:r>
        <w:t xml:space="preserve"> 2010, </w:t>
      </w:r>
      <w:r>
        <w:rPr>
          <w:rStyle w:val="bold"/>
        </w:rPr>
        <w:t>101</w:t>
      </w:r>
      <w:r>
        <w:t>(5)</w:t>
      </w:r>
      <w:r>
        <w:rPr>
          <w:rStyle w:val="bold"/>
        </w:rPr>
        <w:t>:</w:t>
      </w:r>
      <w:r>
        <w:t>358–364.</w:t>
      </w:r>
    </w:p>
    <w:p w:rsidR="00ED12A8" w:rsidRDefault="00555858">
      <w:pPr>
        <w:pStyle w:val="citation"/>
        <w:jc w:val="both"/>
      </w:pPr>
      <w:r>
        <w:t xml:space="preserve">23. </w:t>
      </w:r>
      <w:proofErr w:type="spellStart"/>
      <w:r>
        <w:t>Prady</w:t>
      </w:r>
      <w:proofErr w:type="spellEnd"/>
      <w:r>
        <w:t xml:space="preserve"> SL, Picket KE, </w:t>
      </w:r>
      <w:proofErr w:type="spellStart"/>
      <w:r>
        <w:t>Croudace</w:t>
      </w:r>
      <w:proofErr w:type="spellEnd"/>
      <w:r>
        <w:t xml:space="preserve"> T, Fairley L, Bloor K, </w:t>
      </w:r>
      <w:proofErr w:type="spellStart"/>
      <w:r>
        <w:t>Gilbody</w:t>
      </w:r>
      <w:proofErr w:type="spellEnd"/>
      <w:r>
        <w:t xml:space="preserve"> S, Kiernan KE, Wright J: </w:t>
      </w:r>
      <w:r>
        <w:rPr>
          <w:rStyle w:val="bold"/>
        </w:rPr>
        <w:t>Psychological distress during pregnancy in a multi-ethnic community: findings from the born in Bradford cohort study.</w:t>
      </w:r>
      <w:r>
        <w:t xml:space="preserve"> </w:t>
      </w:r>
      <w:proofErr w:type="spellStart"/>
      <w:r>
        <w:rPr>
          <w:rStyle w:val="italic"/>
        </w:rPr>
        <w:t>PLoS</w:t>
      </w:r>
      <w:proofErr w:type="spellEnd"/>
      <w:r>
        <w:rPr>
          <w:rStyle w:val="italic"/>
        </w:rPr>
        <w:t xml:space="preserve"> ONE</w:t>
      </w:r>
      <w:r>
        <w:t xml:space="preserve"> 2013, </w:t>
      </w:r>
      <w:r>
        <w:rPr>
          <w:rStyle w:val="bold"/>
        </w:rPr>
        <w:t>8</w:t>
      </w:r>
      <w:r>
        <w:t>(4)</w:t>
      </w:r>
      <w:r>
        <w:rPr>
          <w:rStyle w:val="bold"/>
        </w:rPr>
        <w:t>:</w:t>
      </w:r>
      <w:r>
        <w:t>e60693.</w:t>
      </w:r>
    </w:p>
    <w:p w:rsidR="00ED12A8" w:rsidRDefault="00555858">
      <w:pPr>
        <w:pStyle w:val="citation"/>
        <w:jc w:val="both"/>
      </w:pPr>
      <w:r>
        <w:t xml:space="preserve">24. </w:t>
      </w:r>
      <w:proofErr w:type="spellStart"/>
      <w:r>
        <w:t>Wangel</w:t>
      </w:r>
      <w:proofErr w:type="spellEnd"/>
      <w:r>
        <w:t xml:space="preserve"> AM, </w:t>
      </w:r>
      <w:proofErr w:type="spellStart"/>
      <w:r>
        <w:t>Schei</w:t>
      </w:r>
      <w:proofErr w:type="spellEnd"/>
      <w:r>
        <w:t xml:space="preserve"> B, </w:t>
      </w:r>
      <w:proofErr w:type="spellStart"/>
      <w:proofErr w:type="gramStart"/>
      <w:r>
        <w:t>Ryding</w:t>
      </w:r>
      <w:proofErr w:type="spellEnd"/>
      <w:proofErr w:type="gramEnd"/>
      <w:r>
        <w:t xml:space="preserve"> EL, </w:t>
      </w:r>
      <w:proofErr w:type="spellStart"/>
      <w:r>
        <w:t>Ostman</w:t>
      </w:r>
      <w:proofErr w:type="spellEnd"/>
      <w:r>
        <w:t xml:space="preserve"> M: </w:t>
      </w:r>
      <w:r>
        <w:rPr>
          <w:rStyle w:val="bold"/>
        </w:rPr>
        <w:t xml:space="preserve">Mental health status in pregnancy among native and non-native Swedish-speaking women: a </w:t>
      </w:r>
      <w:proofErr w:type="spellStart"/>
      <w:r>
        <w:rPr>
          <w:rStyle w:val="bold"/>
        </w:rPr>
        <w:t>Bidens</w:t>
      </w:r>
      <w:proofErr w:type="spellEnd"/>
      <w:r>
        <w:rPr>
          <w:rStyle w:val="bold"/>
        </w:rPr>
        <w:t xml:space="preserve"> study.</w:t>
      </w:r>
      <w:r>
        <w:t xml:space="preserve"> </w:t>
      </w:r>
      <w:proofErr w:type="spellStart"/>
      <w:r>
        <w:rPr>
          <w:rStyle w:val="italic"/>
        </w:rPr>
        <w:t>Acta</w:t>
      </w:r>
      <w:proofErr w:type="spellEnd"/>
      <w:r>
        <w:rPr>
          <w:rStyle w:val="italic"/>
        </w:rPr>
        <w:t xml:space="preserve"> </w:t>
      </w:r>
      <w:proofErr w:type="spellStart"/>
      <w:r>
        <w:rPr>
          <w:rStyle w:val="italic"/>
        </w:rPr>
        <w:t>Obstet</w:t>
      </w:r>
      <w:proofErr w:type="spellEnd"/>
      <w:r>
        <w:rPr>
          <w:rStyle w:val="italic"/>
        </w:rPr>
        <w:t xml:space="preserve"> </w:t>
      </w:r>
      <w:proofErr w:type="spellStart"/>
      <w:r>
        <w:rPr>
          <w:rStyle w:val="italic"/>
        </w:rPr>
        <w:t>Gynecol</w:t>
      </w:r>
      <w:proofErr w:type="spellEnd"/>
      <w:r>
        <w:rPr>
          <w:rStyle w:val="italic"/>
        </w:rPr>
        <w:t xml:space="preserve"> </w:t>
      </w:r>
      <w:proofErr w:type="spellStart"/>
      <w:r>
        <w:rPr>
          <w:rStyle w:val="italic"/>
        </w:rPr>
        <w:t>Scand</w:t>
      </w:r>
      <w:proofErr w:type="spellEnd"/>
      <w:r>
        <w:t xml:space="preserve"> 2012, </w:t>
      </w:r>
      <w:r>
        <w:rPr>
          <w:rStyle w:val="bold"/>
        </w:rPr>
        <w:t>91</w:t>
      </w:r>
      <w:r>
        <w:t>(12)</w:t>
      </w:r>
      <w:r>
        <w:rPr>
          <w:rStyle w:val="bold"/>
        </w:rPr>
        <w:t>:</w:t>
      </w:r>
      <w:r>
        <w:t>1395–1401.</w:t>
      </w:r>
    </w:p>
    <w:p w:rsidR="00ED12A8" w:rsidRDefault="00555858">
      <w:pPr>
        <w:pStyle w:val="citation"/>
        <w:jc w:val="both"/>
      </w:pPr>
      <w:r>
        <w:t xml:space="preserve">25. Jenum AK, </w:t>
      </w:r>
      <w:proofErr w:type="spellStart"/>
      <w:r>
        <w:t>Mørkrid</w:t>
      </w:r>
      <w:proofErr w:type="spellEnd"/>
      <w:r>
        <w:t xml:space="preserve"> K, Sletner L, </w:t>
      </w:r>
      <w:proofErr w:type="spellStart"/>
      <w:r>
        <w:t>Vangen</w:t>
      </w:r>
      <w:proofErr w:type="spellEnd"/>
      <w:r>
        <w:t xml:space="preserve"> S, </w:t>
      </w:r>
      <w:proofErr w:type="spellStart"/>
      <w:r>
        <w:t>Torper</w:t>
      </w:r>
      <w:proofErr w:type="spellEnd"/>
      <w:r>
        <w:t xml:space="preserve"> JL, </w:t>
      </w:r>
      <w:proofErr w:type="spellStart"/>
      <w:r>
        <w:t>Nakstad</w:t>
      </w:r>
      <w:proofErr w:type="spellEnd"/>
      <w:r>
        <w:t xml:space="preserve"> B, </w:t>
      </w:r>
      <w:proofErr w:type="spellStart"/>
      <w:r>
        <w:t>Voldner</w:t>
      </w:r>
      <w:proofErr w:type="spellEnd"/>
      <w:r>
        <w:t xml:space="preserve"> N, </w:t>
      </w:r>
      <w:proofErr w:type="spellStart"/>
      <w:r>
        <w:t>Rognerud</w:t>
      </w:r>
      <w:proofErr w:type="spellEnd"/>
      <w:r>
        <w:t xml:space="preserve">-Jensen OH, </w:t>
      </w:r>
      <w:proofErr w:type="spellStart"/>
      <w:r>
        <w:t>Berntsen</w:t>
      </w:r>
      <w:proofErr w:type="spellEnd"/>
      <w:r>
        <w:t xml:space="preserve"> S, </w:t>
      </w:r>
      <w:proofErr w:type="spellStart"/>
      <w:r>
        <w:t>Mosdøl</w:t>
      </w:r>
      <w:proofErr w:type="spellEnd"/>
      <w:r>
        <w:t xml:space="preserve"> A, </w:t>
      </w:r>
      <w:proofErr w:type="spellStart"/>
      <w:r>
        <w:t>Skrivarhaug</w:t>
      </w:r>
      <w:proofErr w:type="spellEnd"/>
      <w:r>
        <w:t xml:space="preserve"> T, </w:t>
      </w:r>
      <w:proofErr w:type="spellStart"/>
      <w:r>
        <w:t>Vårdal</w:t>
      </w:r>
      <w:proofErr w:type="spellEnd"/>
      <w:r>
        <w:t xml:space="preserve"> MH, </w:t>
      </w:r>
      <w:proofErr w:type="spellStart"/>
      <w:r>
        <w:t>Volme</w:t>
      </w:r>
      <w:proofErr w:type="spellEnd"/>
      <w:r>
        <w:t xml:space="preserve"> I, </w:t>
      </w:r>
      <w:proofErr w:type="spellStart"/>
      <w:r>
        <w:t>Yajnik</w:t>
      </w:r>
      <w:proofErr w:type="spellEnd"/>
      <w:r>
        <w:t xml:space="preserve"> CS, </w:t>
      </w:r>
      <w:proofErr w:type="spellStart"/>
      <w:proofErr w:type="gramStart"/>
      <w:r>
        <w:t>Birkeland</w:t>
      </w:r>
      <w:proofErr w:type="spellEnd"/>
      <w:proofErr w:type="gramEnd"/>
      <w:r>
        <w:t xml:space="preserve"> KI: </w:t>
      </w:r>
      <w:r>
        <w:rPr>
          <w:rStyle w:val="bold"/>
        </w:rPr>
        <w:t>Impact of ethnicity on gestational diabetes identified with the WHO and the modified International Association of Diabetes and Pregnancy Study Groups criteria: a population-based cohort study.</w:t>
      </w:r>
      <w:r>
        <w:t xml:space="preserve"> </w:t>
      </w:r>
      <w:proofErr w:type="spellStart"/>
      <w:r>
        <w:rPr>
          <w:rStyle w:val="italic"/>
        </w:rPr>
        <w:t>Eur</w:t>
      </w:r>
      <w:proofErr w:type="spellEnd"/>
      <w:r>
        <w:rPr>
          <w:rStyle w:val="italic"/>
        </w:rPr>
        <w:t xml:space="preserve"> J </w:t>
      </w:r>
      <w:proofErr w:type="spellStart"/>
      <w:r>
        <w:rPr>
          <w:rStyle w:val="italic"/>
        </w:rPr>
        <w:t>Endocrinol</w:t>
      </w:r>
      <w:proofErr w:type="spellEnd"/>
      <w:r>
        <w:t xml:space="preserve"> 2012, </w:t>
      </w:r>
      <w:r>
        <w:rPr>
          <w:rStyle w:val="bold"/>
        </w:rPr>
        <w:t>166</w:t>
      </w:r>
      <w:r>
        <w:t>(2)</w:t>
      </w:r>
      <w:r>
        <w:rPr>
          <w:rStyle w:val="bold"/>
        </w:rPr>
        <w:t>:</w:t>
      </w:r>
      <w:r>
        <w:t>317–324.</w:t>
      </w:r>
    </w:p>
    <w:p w:rsidR="00ED12A8" w:rsidRDefault="00555858">
      <w:pPr>
        <w:pStyle w:val="citation"/>
        <w:jc w:val="both"/>
      </w:pPr>
      <w:r>
        <w:t xml:space="preserve">26. Jenum AK, Sletner L, </w:t>
      </w:r>
      <w:proofErr w:type="spellStart"/>
      <w:r>
        <w:t>Vangen</w:t>
      </w:r>
      <w:proofErr w:type="spellEnd"/>
      <w:r>
        <w:t xml:space="preserve"> S, </w:t>
      </w:r>
      <w:proofErr w:type="spellStart"/>
      <w:r>
        <w:t>Mørkrid</w:t>
      </w:r>
      <w:proofErr w:type="spellEnd"/>
      <w:r>
        <w:t xml:space="preserve"> K, Andersen LF, </w:t>
      </w:r>
      <w:proofErr w:type="spellStart"/>
      <w:r>
        <w:t>Nakstad</w:t>
      </w:r>
      <w:proofErr w:type="spellEnd"/>
      <w:r>
        <w:t xml:space="preserve"> B, </w:t>
      </w:r>
      <w:proofErr w:type="spellStart"/>
      <w:r>
        <w:t>Skrivarhaug</w:t>
      </w:r>
      <w:proofErr w:type="spellEnd"/>
      <w:r>
        <w:t xml:space="preserve"> T, </w:t>
      </w:r>
      <w:proofErr w:type="spellStart"/>
      <w:r>
        <w:t>Rognerud</w:t>
      </w:r>
      <w:proofErr w:type="spellEnd"/>
      <w:r>
        <w:t xml:space="preserve">-Jensen OH, Roald B, </w:t>
      </w:r>
      <w:proofErr w:type="spellStart"/>
      <w:proofErr w:type="gramStart"/>
      <w:r>
        <w:t>Birkeland</w:t>
      </w:r>
      <w:proofErr w:type="spellEnd"/>
      <w:proofErr w:type="gramEnd"/>
      <w:r>
        <w:t xml:space="preserve"> KI: </w:t>
      </w:r>
      <w:r>
        <w:rPr>
          <w:rStyle w:val="bold"/>
        </w:rPr>
        <w:t xml:space="preserve">The STORK </w:t>
      </w:r>
      <w:proofErr w:type="spellStart"/>
      <w:r>
        <w:rPr>
          <w:rStyle w:val="bold"/>
        </w:rPr>
        <w:t>Groruddalen</w:t>
      </w:r>
      <w:proofErr w:type="spellEnd"/>
      <w:r>
        <w:rPr>
          <w:rStyle w:val="bold"/>
        </w:rPr>
        <w:t xml:space="preserve"> research </w:t>
      </w:r>
      <w:proofErr w:type="spellStart"/>
      <w:r>
        <w:rPr>
          <w:rStyle w:val="bold"/>
        </w:rPr>
        <w:t>programme</w:t>
      </w:r>
      <w:proofErr w:type="spellEnd"/>
      <w:r>
        <w:rPr>
          <w:rStyle w:val="bold"/>
        </w:rPr>
        <w:t>: A population-based cohort study of gestational diabetes, physical activity, and obesity in pregnancy in a multiethnic population. Rationale, methods, study population, and participation rates.</w:t>
      </w:r>
      <w:r>
        <w:t xml:space="preserve"> </w:t>
      </w:r>
      <w:r>
        <w:rPr>
          <w:rStyle w:val="italic"/>
        </w:rPr>
        <w:t>Scand J Public Health</w:t>
      </w:r>
      <w:r>
        <w:t xml:space="preserve"> 2010, </w:t>
      </w:r>
      <w:r>
        <w:rPr>
          <w:rStyle w:val="bold"/>
        </w:rPr>
        <w:t>38</w:t>
      </w:r>
      <w:r>
        <w:t>(5)</w:t>
      </w:r>
      <w:r>
        <w:rPr>
          <w:rStyle w:val="bold"/>
        </w:rPr>
        <w:t>:</w:t>
      </w:r>
      <w:r>
        <w:t>60–70.</w:t>
      </w:r>
    </w:p>
    <w:p w:rsidR="00ED12A8" w:rsidRDefault="00555858">
      <w:pPr>
        <w:pStyle w:val="citation"/>
        <w:jc w:val="both"/>
      </w:pPr>
      <w:r>
        <w:t xml:space="preserve">27. Cox J: </w:t>
      </w:r>
      <w:r>
        <w:rPr>
          <w:rStyle w:val="italic"/>
        </w:rPr>
        <w:t>A guide to the Edinburgh Postnatal Depression Scale.</w:t>
      </w:r>
      <w:r w:rsidR="00523A8F">
        <w:t xml:space="preserve"> </w:t>
      </w:r>
      <w:r>
        <w:t>2003.</w:t>
      </w:r>
    </w:p>
    <w:p w:rsidR="00ED12A8" w:rsidRDefault="00555858">
      <w:pPr>
        <w:pStyle w:val="citation"/>
        <w:jc w:val="both"/>
      </w:pPr>
      <w:r>
        <w:t xml:space="preserve">28. Cox JL, Holden JM, </w:t>
      </w:r>
      <w:proofErr w:type="spellStart"/>
      <w:proofErr w:type="gramStart"/>
      <w:r>
        <w:t>Sagovsky</w:t>
      </w:r>
      <w:proofErr w:type="spellEnd"/>
      <w:proofErr w:type="gramEnd"/>
      <w:r>
        <w:t xml:space="preserve"> R: </w:t>
      </w:r>
      <w:r>
        <w:rPr>
          <w:rStyle w:val="bold"/>
        </w:rPr>
        <w:t xml:space="preserve">Detection of postnatal depression. </w:t>
      </w:r>
      <w:proofErr w:type="gramStart"/>
      <w:r>
        <w:rPr>
          <w:rStyle w:val="bold"/>
        </w:rPr>
        <w:t>Development of the 10-item Edinburgh Postnatal Depression Scale.</w:t>
      </w:r>
      <w:proofErr w:type="gramEnd"/>
      <w:r>
        <w:t xml:space="preserve"> </w:t>
      </w:r>
      <w:r>
        <w:rPr>
          <w:rStyle w:val="italic"/>
        </w:rPr>
        <w:t>Br J Psychiatry</w:t>
      </w:r>
      <w:r>
        <w:t xml:space="preserve"> 1987, </w:t>
      </w:r>
      <w:r>
        <w:rPr>
          <w:rStyle w:val="bold"/>
        </w:rPr>
        <w:t>150:</w:t>
      </w:r>
      <w:r>
        <w:t>782–786.</w:t>
      </w:r>
    </w:p>
    <w:p w:rsidR="00ED12A8" w:rsidRDefault="00555858">
      <w:pPr>
        <w:pStyle w:val="citation"/>
        <w:jc w:val="both"/>
      </w:pPr>
      <w:r>
        <w:t xml:space="preserve">29. Murray L, Carothers AD: </w:t>
      </w:r>
      <w:r>
        <w:rPr>
          <w:rStyle w:val="bold"/>
        </w:rPr>
        <w:t>The validation of the Edinburgh Post-natal Depression Scale on a community sample.</w:t>
      </w:r>
      <w:r>
        <w:t xml:space="preserve"> </w:t>
      </w:r>
      <w:r>
        <w:rPr>
          <w:rStyle w:val="italic"/>
        </w:rPr>
        <w:t>Br J Psychiatry</w:t>
      </w:r>
      <w:r>
        <w:t xml:space="preserve"> 1990, </w:t>
      </w:r>
      <w:r>
        <w:rPr>
          <w:rStyle w:val="bold"/>
        </w:rPr>
        <w:t>157:</w:t>
      </w:r>
      <w:r>
        <w:t>288–290.</w:t>
      </w:r>
    </w:p>
    <w:p w:rsidR="00ED12A8" w:rsidRDefault="00555858">
      <w:pPr>
        <w:pStyle w:val="citation"/>
        <w:jc w:val="both"/>
      </w:pPr>
      <w:r>
        <w:t xml:space="preserve">30. Cox JL, Chapman G, Murray D, </w:t>
      </w:r>
      <w:proofErr w:type="gramStart"/>
      <w:r>
        <w:t>Jones</w:t>
      </w:r>
      <w:proofErr w:type="gramEnd"/>
      <w:r>
        <w:t xml:space="preserve"> P: </w:t>
      </w:r>
      <w:r>
        <w:rPr>
          <w:rStyle w:val="bold"/>
        </w:rPr>
        <w:t>Validation of the Edinburgh Postnatal Depression Scale (EPDS) in non-postnatal women.</w:t>
      </w:r>
      <w:r>
        <w:t xml:space="preserve"> </w:t>
      </w:r>
      <w:r>
        <w:rPr>
          <w:rStyle w:val="italic"/>
        </w:rPr>
        <w:t xml:space="preserve">J Affect </w:t>
      </w:r>
      <w:proofErr w:type="spellStart"/>
      <w:r>
        <w:rPr>
          <w:rStyle w:val="italic"/>
        </w:rPr>
        <w:t>Disord</w:t>
      </w:r>
      <w:proofErr w:type="spellEnd"/>
      <w:r>
        <w:t xml:space="preserve"> 1996, </w:t>
      </w:r>
      <w:r>
        <w:rPr>
          <w:rStyle w:val="bold"/>
        </w:rPr>
        <w:t>39</w:t>
      </w:r>
      <w:r>
        <w:t>(3)</w:t>
      </w:r>
      <w:r>
        <w:rPr>
          <w:rStyle w:val="bold"/>
        </w:rPr>
        <w:t>:</w:t>
      </w:r>
      <w:r>
        <w:t>185–189.</w:t>
      </w:r>
    </w:p>
    <w:p w:rsidR="00ED12A8" w:rsidRDefault="00555858">
      <w:pPr>
        <w:pStyle w:val="citation"/>
        <w:jc w:val="both"/>
      </w:pPr>
      <w:r>
        <w:t xml:space="preserve">31. </w:t>
      </w:r>
      <w:proofErr w:type="spellStart"/>
      <w:r>
        <w:t>Bunevicius</w:t>
      </w:r>
      <w:proofErr w:type="spellEnd"/>
      <w:r>
        <w:t xml:space="preserve"> A, </w:t>
      </w:r>
      <w:proofErr w:type="spellStart"/>
      <w:r>
        <w:t>Kusiminskas</w:t>
      </w:r>
      <w:proofErr w:type="spellEnd"/>
      <w:r>
        <w:t xml:space="preserve"> L, Pop VJ, </w:t>
      </w:r>
      <w:proofErr w:type="gramStart"/>
      <w:r>
        <w:t>Pedersen</w:t>
      </w:r>
      <w:proofErr w:type="gramEnd"/>
      <w:r>
        <w:t xml:space="preserve"> CA, </w:t>
      </w:r>
      <w:proofErr w:type="spellStart"/>
      <w:r>
        <w:t>Bunevicius</w:t>
      </w:r>
      <w:proofErr w:type="spellEnd"/>
      <w:r>
        <w:t xml:space="preserve"> R: </w:t>
      </w:r>
      <w:r>
        <w:rPr>
          <w:rStyle w:val="bold"/>
        </w:rPr>
        <w:t>Screening for antenatal depression with the Edinburgh Depression Scale.</w:t>
      </w:r>
      <w:r>
        <w:t xml:space="preserve"> </w:t>
      </w:r>
      <w:r>
        <w:rPr>
          <w:rStyle w:val="italic"/>
        </w:rPr>
        <w:t xml:space="preserve">J </w:t>
      </w:r>
      <w:proofErr w:type="spellStart"/>
      <w:r>
        <w:rPr>
          <w:rStyle w:val="italic"/>
        </w:rPr>
        <w:t>Psychosom</w:t>
      </w:r>
      <w:proofErr w:type="spellEnd"/>
      <w:r>
        <w:rPr>
          <w:rStyle w:val="italic"/>
        </w:rPr>
        <w:t xml:space="preserve"> </w:t>
      </w:r>
      <w:proofErr w:type="spellStart"/>
      <w:r>
        <w:rPr>
          <w:rStyle w:val="italic"/>
        </w:rPr>
        <w:t>Obstet</w:t>
      </w:r>
      <w:proofErr w:type="spellEnd"/>
      <w:r>
        <w:rPr>
          <w:rStyle w:val="italic"/>
        </w:rPr>
        <w:t xml:space="preserve"> </w:t>
      </w:r>
      <w:proofErr w:type="spellStart"/>
      <w:r>
        <w:rPr>
          <w:rStyle w:val="italic"/>
        </w:rPr>
        <w:t>Gynaecol</w:t>
      </w:r>
      <w:proofErr w:type="spellEnd"/>
      <w:r>
        <w:t xml:space="preserve"> 2009, </w:t>
      </w:r>
      <w:r>
        <w:rPr>
          <w:rStyle w:val="bold"/>
        </w:rPr>
        <w:t>30</w:t>
      </w:r>
      <w:r>
        <w:t>(4)</w:t>
      </w:r>
      <w:r>
        <w:rPr>
          <w:rStyle w:val="bold"/>
        </w:rPr>
        <w:t>:</w:t>
      </w:r>
      <w:r>
        <w:t>238–243.</w:t>
      </w:r>
    </w:p>
    <w:p w:rsidR="00ED12A8" w:rsidRDefault="00555858">
      <w:pPr>
        <w:pStyle w:val="citation"/>
        <w:jc w:val="both"/>
      </w:pPr>
      <w:r>
        <w:t xml:space="preserve">32. </w:t>
      </w:r>
      <w:proofErr w:type="spellStart"/>
      <w:r>
        <w:t>Rubertsson</w:t>
      </w:r>
      <w:proofErr w:type="spellEnd"/>
      <w:r>
        <w:t xml:space="preserve"> C, </w:t>
      </w:r>
      <w:proofErr w:type="spellStart"/>
      <w:r>
        <w:t>Borjesson</w:t>
      </w:r>
      <w:proofErr w:type="spellEnd"/>
      <w:r>
        <w:t xml:space="preserve"> K, Berglund A, </w:t>
      </w:r>
      <w:proofErr w:type="spellStart"/>
      <w:r>
        <w:t>Josefsson</w:t>
      </w:r>
      <w:proofErr w:type="spellEnd"/>
      <w:r>
        <w:t xml:space="preserve"> A, </w:t>
      </w:r>
      <w:proofErr w:type="spellStart"/>
      <w:r>
        <w:t>Sydsjo</w:t>
      </w:r>
      <w:proofErr w:type="spellEnd"/>
      <w:r>
        <w:t xml:space="preserve"> G: </w:t>
      </w:r>
      <w:r>
        <w:rPr>
          <w:rStyle w:val="bold"/>
        </w:rPr>
        <w:t>The Swedish validation of Edinburgh Postnatal Depression Scale (EPDS) during pregnancy.</w:t>
      </w:r>
      <w:r>
        <w:t xml:space="preserve"> </w:t>
      </w:r>
      <w:r>
        <w:rPr>
          <w:rStyle w:val="italic"/>
        </w:rPr>
        <w:t>Nord J Psychiatry</w:t>
      </w:r>
      <w:r>
        <w:t xml:space="preserve"> 2011, </w:t>
      </w:r>
      <w:r>
        <w:rPr>
          <w:rStyle w:val="bold"/>
        </w:rPr>
        <w:t>65</w:t>
      </w:r>
      <w:r>
        <w:t>(6)</w:t>
      </w:r>
      <w:r>
        <w:rPr>
          <w:rStyle w:val="bold"/>
        </w:rPr>
        <w:t>:</w:t>
      </w:r>
      <w:r>
        <w:t>414–418.</w:t>
      </w:r>
    </w:p>
    <w:p w:rsidR="00ED12A8" w:rsidRDefault="00555858">
      <w:pPr>
        <w:pStyle w:val="citation"/>
        <w:jc w:val="both"/>
      </w:pPr>
      <w:r>
        <w:t xml:space="preserve">33. Murray D, Cox JL: </w:t>
      </w:r>
      <w:r>
        <w:rPr>
          <w:rStyle w:val="bold"/>
        </w:rPr>
        <w:t xml:space="preserve">Screening for depression during pregnancy with the </w:t>
      </w:r>
      <w:proofErr w:type="spellStart"/>
      <w:proofErr w:type="gramStart"/>
      <w:r>
        <w:rPr>
          <w:rStyle w:val="bold"/>
        </w:rPr>
        <w:t>edinburgh</w:t>
      </w:r>
      <w:proofErr w:type="spellEnd"/>
      <w:proofErr w:type="gramEnd"/>
      <w:r>
        <w:rPr>
          <w:rStyle w:val="bold"/>
        </w:rPr>
        <w:t xml:space="preserve"> depression scale (EDDS).</w:t>
      </w:r>
      <w:r>
        <w:t xml:space="preserve"> </w:t>
      </w:r>
      <w:proofErr w:type="gramStart"/>
      <w:r>
        <w:rPr>
          <w:rStyle w:val="italic"/>
        </w:rPr>
        <w:t xml:space="preserve">J </w:t>
      </w:r>
      <w:proofErr w:type="spellStart"/>
      <w:r>
        <w:rPr>
          <w:rStyle w:val="italic"/>
        </w:rPr>
        <w:t>Reprod</w:t>
      </w:r>
      <w:proofErr w:type="spellEnd"/>
      <w:r>
        <w:rPr>
          <w:rStyle w:val="italic"/>
        </w:rPr>
        <w:t xml:space="preserve"> Infant </w:t>
      </w:r>
      <w:proofErr w:type="spellStart"/>
      <w:r>
        <w:rPr>
          <w:rStyle w:val="italic"/>
        </w:rPr>
        <w:t>Psychol</w:t>
      </w:r>
      <w:proofErr w:type="spellEnd"/>
      <w:r>
        <w:t xml:space="preserve"> 1990, </w:t>
      </w:r>
      <w:r>
        <w:rPr>
          <w:rStyle w:val="bold"/>
        </w:rPr>
        <w:t>8</w:t>
      </w:r>
      <w:r>
        <w:t>(2)</w:t>
      </w:r>
      <w:r>
        <w:rPr>
          <w:rStyle w:val="bold"/>
        </w:rPr>
        <w:t>:</w:t>
      </w:r>
      <w:r>
        <w:t>99–107.</w:t>
      </w:r>
      <w:proofErr w:type="gramEnd"/>
    </w:p>
    <w:p w:rsidR="00ED12A8" w:rsidRDefault="00555858">
      <w:pPr>
        <w:pStyle w:val="citation"/>
        <w:jc w:val="both"/>
      </w:pPr>
      <w:r>
        <w:lastRenderedPageBreak/>
        <w:t xml:space="preserve">34. Husain N, Rahman A, Husain M, Khan SM, Vyas A, </w:t>
      </w:r>
      <w:proofErr w:type="spellStart"/>
      <w:r>
        <w:t>Tomenson</w:t>
      </w:r>
      <w:proofErr w:type="spellEnd"/>
      <w:r>
        <w:t xml:space="preserve"> B, Cruickshank KJ: </w:t>
      </w:r>
      <w:r>
        <w:rPr>
          <w:rStyle w:val="bold"/>
        </w:rPr>
        <w:t>Detecting Depression in Pregnancy: Validation of EPDS in British Pakistani Mothers.</w:t>
      </w:r>
      <w:r>
        <w:t xml:space="preserve"> </w:t>
      </w:r>
      <w:r>
        <w:rPr>
          <w:rStyle w:val="italic"/>
        </w:rPr>
        <w:t xml:space="preserve">J </w:t>
      </w:r>
      <w:proofErr w:type="spellStart"/>
      <w:r>
        <w:rPr>
          <w:rStyle w:val="italic"/>
        </w:rPr>
        <w:t>Immigr</w:t>
      </w:r>
      <w:proofErr w:type="spellEnd"/>
      <w:r>
        <w:rPr>
          <w:rStyle w:val="italic"/>
        </w:rPr>
        <w:t xml:space="preserve"> Minor Health</w:t>
      </w:r>
      <w:r>
        <w:t xml:space="preserve"> </w:t>
      </w:r>
      <w:r w:rsidRPr="00FF4B68">
        <w:rPr>
          <w:color w:val="FF0000"/>
        </w:rPr>
        <w:t xml:space="preserve">2014, </w:t>
      </w:r>
      <w:r w:rsidR="002135D1" w:rsidRPr="00FF4B68">
        <w:rPr>
          <w:b/>
          <w:noProof/>
          <w:color w:val="FF0000"/>
        </w:rPr>
        <w:t>16</w:t>
      </w:r>
      <w:r w:rsidR="002135D1" w:rsidRPr="00FF4B68">
        <w:rPr>
          <w:noProof/>
          <w:color w:val="FF0000"/>
        </w:rPr>
        <w:t>(6): p. 1085-92.</w:t>
      </w:r>
    </w:p>
    <w:p w:rsidR="00ED12A8" w:rsidRDefault="00555858">
      <w:pPr>
        <w:pStyle w:val="citation"/>
        <w:jc w:val="both"/>
      </w:pPr>
      <w:r>
        <w:t xml:space="preserve">35. Hewitt C, </w:t>
      </w:r>
      <w:proofErr w:type="spellStart"/>
      <w:r>
        <w:t>Gilbody</w:t>
      </w:r>
      <w:proofErr w:type="spellEnd"/>
      <w:r>
        <w:t xml:space="preserve"> SM, </w:t>
      </w:r>
      <w:proofErr w:type="spellStart"/>
      <w:r>
        <w:t>Brealey</w:t>
      </w:r>
      <w:proofErr w:type="spellEnd"/>
      <w:r>
        <w:t xml:space="preserve"> S, </w:t>
      </w:r>
      <w:proofErr w:type="spellStart"/>
      <w:r>
        <w:t>Paulden</w:t>
      </w:r>
      <w:proofErr w:type="spellEnd"/>
      <w:r>
        <w:t xml:space="preserve"> M, Palmer S, Mann R, Green J, Morell J, </w:t>
      </w:r>
      <w:proofErr w:type="spellStart"/>
      <w:r>
        <w:t>Barkham</w:t>
      </w:r>
      <w:proofErr w:type="spellEnd"/>
      <w:r>
        <w:t xml:space="preserve"> M, Light K, Richards D: </w:t>
      </w:r>
      <w:r>
        <w:rPr>
          <w:rStyle w:val="bold"/>
        </w:rPr>
        <w:t>Methods to identify postnatal depression in primary care: an integrated evidence synthesis and value of information analysis.</w:t>
      </w:r>
      <w:r>
        <w:t xml:space="preserve"> </w:t>
      </w:r>
      <w:r>
        <w:rPr>
          <w:rStyle w:val="italic"/>
        </w:rPr>
        <w:t xml:space="preserve">Health </w:t>
      </w:r>
      <w:proofErr w:type="spellStart"/>
      <w:r>
        <w:rPr>
          <w:rStyle w:val="italic"/>
        </w:rPr>
        <w:t>Technol</w:t>
      </w:r>
      <w:proofErr w:type="spellEnd"/>
      <w:r>
        <w:rPr>
          <w:rStyle w:val="italic"/>
        </w:rPr>
        <w:t xml:space="preserve"> Assess</w:t>
      </w:r>
      <w:r>
        <w:t xml:space="preserve"> 2009, </w:t>
      </w:r>
      <w:r>
        <w:rPr>
          <w:rStyle w:val="bold"/>
        </w:rPr>
        <w:t>13</w:t>
      </w:r>
      <w:r>
        <w:t>(36)</w:t>
      </w:r>
      <w:r>
        <w:rPr>
          <w:rStyle w:val="bold"/>
        </w:rPr>
        <w:t>:</w:t>
      </w:r>
      <w:r>
        <w:t xml:space="preserve">1–145. </w:t>
      </w:r>
      <w:proofErr w:type="gramStart"/>
      <w:r>
        <w:t>147-230.</w:t>
      </w:r>
      <w:proofErr w:type="gramEnd"/>
    </w:p>
    <w:p w:rsidR="00ED12A8" w:rsidRDefault="00555858">
      <w:pPr>
        <w:pStyle w:val="citation"/>
        <w:jc w:val="both"/>
      </w:pPr>
      <w:r>
        <w:t xml:space="preserve">36. </w:t>
      </w:r>
      <w:proofErr w:type="spellStart"/>
      <w:r>
        <w:t>Berle</w:t>
      </w:r>
      <w:proofErr w:type="spellEnd"/>
      <w:r>
        <w:t xml:space="preserve"> JO, </w:t>
      </w:r>
      <w:proofErr w:type="spellStart"/>
      <w:r>
        <w:t>Arre</w:t>
      </w:r>
      <w:proofErr w:type="spellEnd"/>
      <w:r>
        <w:t xml:space="preserve"> TF, </w:t>
      </w:r>
      <w:proofErr w:type="spellStart"/>
      <w:r>
        <w:t>Mykletun</w:t>
      </w:r>
      <w:proofErr w:type="spellEnd"/>
      <w:r>
        <w:t xml:space="preserve"> A, </w:t>
      </w:r>
      <w:proofErr w:type="gramStart"/>
      <w:r>
        <w:t>Dahl</w:t>
      </w:r>
      <w:proofErr w:type="gramEnd"/>
      <w:r>
        <w:t xml:space="preserve"> AA, </w:t>
      </w:r>
      <w:proofErr w:type="spellStart"/>
      <w:r>
        <w:t>Holsten</w:t>
      </w:r>
      <w:proofErr w:type="spellEnd"/>
      <w:r>
        <w:t xml:space="preserve"> F: </w:t>
      </w:r>
      <w:r>
        <w:rPr>
          <w:rStyle w:val="bold"/>
        </w:rPr>
        <w:t xml:space="preserve">Screening for postnatal depression. </w:t>
      </w:r>
      <w:proofErr w:type="gramStart"/>
      <w:r>
        <w:rPr>
          <w:rStyle w:val="bold"/>
        </w:rPr>
        <w:t>Validation of the Norwegian version of the Edinburgh Postnatal Depression Scale, and assessment of risk factors for postnatal depression.</w:t>
      </w:r>
      <w:proofErr w:type="gramEnd"/>
      <w:r>
        <w:t xml:space="preserve"> </w:t>
      </w:r>
      <w:r>
        <w:rPr>
          <w:rStyle w:val="italic"/>
        </w:rPr>
        <w:t xml:space="preserve">J Affect </w:t>
      </w:r>
      <w:proofErr w:type="spellStart"/>
      <w:r>
        <w:rPr>
          <w:rStyle w:val="italic"/>
        </w:rPr>
        <w:t>Disord</w:t>
      </w:r>
      <w:proofErr w:type="spellEnd"/>
      <w:r>
        <w:t xml:space="preserve"> 2003, </w:t>
      </w:r>
      <w:r>
        <w:rPr>
          <w:rStyle w:val="bold"/>
        </w:rPr>
        <w:t>76</w:t>
      </w:r>
      <w:r>
        <w:t>(1-3)</w:t>
      </w:r>
      <w:r>
        <w:rPr>
          <w:rStyle w:val="bold"/>
        </w:rPr>
        <w:t>:</w:t>
      </w:r>
      <w:r>
        <w:t>151–156.</w:t>
      </w:r>
    </w:p>
    <w:p w:rsidR="00ED12A8" w:rsidRDefault="00555858">
      <w:pPr>
        <w:pStyle w:val="citation"/>
        <w:jc w:val="both"/>
      </w:pPr>
      <w:r>
        <w:t xml:space="preserve">37. </w:t>
      </w:r>
      <w:proofErr w:type="spellStart"/>
      <w:r>
        <w:t>Nordeng</w:t>
      </w:r>
      <w:proofErr w:type="spellEnd"/>
      <w:r>
        <w:t xml:space="preserve"> H, Hansen C, </w:t>
      </w:r>
      <w:proofErr w:type="spellStart"/>
      <w:r>
        <w:t>Garthus-Niegel</w:t>
      </w:r>
      <w:proofErr w:type="spellEnd"/>
      <w:r>
        <w:t xml:space="preserve"> S, </w:t>
      </w:r>
      <w:proofErr w:type="gramStart"/>
      <w:r>
        <w:t>Eberhard</w:t>
      </w:r>
      <w:proofErr w:type="gramEnd"/>
      <w:r>
        <w:t xml:space="preserve">-Gran M: </w:t>
      </w:r>
      <w:r>
        <w:rPr>
          <w:rStyle w:val="bold"/>
        </w:rPr>
        <w:t>Fear of childbirth, mental health, and medication use during pregnancy.</w:t>
      </w:r>
      <w:r>
        <w:t xml:space="preserve"> </w:t>
      </w:r>
      <w:r>
        <w:rPr>
          <w:rStyle w:val="italic"/>
        </w:rPr>
        <w:t xml:space="preserve">Arch </w:t>
      </w:r>
      <w:proofErr w:type="spellStart"/>
      <w:r>
        <w:rPr>
          <w:rStyle w:val="italic"/>
        </w:rPr>
        <w:t>Womens</w:t>
      </w:r>
      <w:proofErr w:type="spellEnd"/>
      <w:r>
        <w:rPr>
          <w:rStyle w:val="italic"/>
        </w:rPr>
        <w:t xml:space="preserve"> </w:t>
      </w:r>
      <w:proofErr w:type="spellStart"/>
      <w:r>
        <w:rPr>
          <w:rStyle w:val="italic"/>
        </w:rPr>
        <w:t>Ment</w:t>
      </w:r>
      <w:proofErr w:type="spellEnd"/>
      <w:r>
        <w:rPr>
          <w:rStyle w:val="italic"/>
        </w:rPr>
        <w:t xml:space="preserve"> Health</w:t>
      </w:r>
      <w:r>
        <w:t xml:space="preserve"> 2012, </w:t>
      </w:r>
      <w:r>
        <w:rPr>
          <w:rStyle w:val="bold"/>
        </w:rPr>
        <w:t>15</w:t>
      </w:r>
      <w:r>
        <w:t>(3)</w:t>
      </w:r>
      <w:r>
        <w:rPr>
          <w:rStyle w:val="bold"/>
        </w:rPr>
        <w:t>:</w:t>
      </w:r>
      <w:r>
        <w:t>203–209.</w:t>
      </w:r>
    </w:p>
    <w:p w:rsidR="00ED12A8" w:rsidRDefault="00555858">
      <w:pPr>
        <w:pStyle w:val="citation"/>
        <w:jc w:val="both"/>
      </w:pPr>
      <w:r>
        <w:t xml:space="preserve">38. </w:t>
      </w:r>
      <w:proofErr w:type="spellStart"/>
      <w:r>
        <w:t>Dorheim</w:t>
      </w:r>
      <w:proofErr w:type="spellEnd"/>
      <w:r>
        <w:t xml:space="preserve"> SK, </w:t>
      </w:r>
      <w:proofErr w:type="spellStart"/>
      <w:r>
        <w:t>Bjorvatn</w:t>
      </w:r>
      <w:proofErr w:type="spellEnd"/>
      <w:r>
        <w:t xml:space="preserve"> B, </w:t>
      </w:r>
      <w:proofErr w:type="gramStart"/>
      <w:r>
        <w:t>Eberhard</w:t>
      </w:r>
      <w:proofErr w:type="gramEnd"/>
      <w:r>
        <w:t xml:space="preserve">-Gran M: </w:t>
      </w:r>
      <w:r>
        <w:rPr>
          <w:rStyle w:val="bold"/>
        </w:rPr>
        <w:t>Insomnia and depressive symptoms in late pregnancy: a population-based study.</w:t>
      </w:r>
      <w:r>
        <w:t xml:space="preserve"> </w:t>
      </w:r>
      <w:proofErr w:type="spellStart"/>
      <w:r>
        <w:rPr>
          <w:rStyle w:val="italic"/>
        </w:rPr>
        <w:t>Behav</w:t>
      </w:r>
      <w:proofErr w:type="spellEnd"/>
      <w:r>
        <w:rPr>
          <w:rStyle w:val="italic"/>
        </w:rPr>
        <w:t xml:space="preserve"> Sleep Med</w:t>
      </w:r>
      <w:r>
        <w:t xml:space="preserve"> 2012, </w:t>
      </w:r>
      <w:r>
        <w:rPr>
          <w:rStyle w:val="bold"/>
        </w:rPr>
        <w:t>10</w:t>
      </w:r>
      <w:r>
        <w:t>(3)</w:t>
      </w:r>
      <w:r>
        <w:rPr>
          <w:rStyle w:val="bold"/>
        </w:rPr>
        <w:t>:</w:t>
      </w:r>
      <w:r>
        <w:t>152–166.</w:t>
      </w:r>
    </w:p>
    <w:p w:rsidR="00ED12A8" w:rsidRDefault="00555858">
      <w:pPr>
        <w:pStyle w:val="citation"/>
        <w:jc w:val="both"/>
      </w:pPr>
      <w:r>
        <w:t xml:space="preserve">39. </w:t>
      </w:r>
      <w:proofErr w:type="spellStart"/>
      <w:r>
        <w:t>Garthus-Niegel</w:t>
      </w:r>
      <w:proofErr w:type="spellEnd"/>
      <w:r>
        <w:t xml:space="preserve"> S, Von </w:t>
      </w:r>
      <w:proofErr w:type="spellStart"/>
      <w:r>
        <w:t>Soest</w:t>
      </w:r>
      <w:proofErr w:type="spellEnd"/>
      <w:r>
        <w:t xml:space="preserve"> T, </w:t>
      </w:r>
      <w:proofErr w:type="spellStart"/>
      <w:r>
        <w:t>Vollrath</w:t>
      </w:r>
      <w:proofErr w:type="spellEnd"/>
      <w:r>
        <w:t xml:space="preserve"> M, Eberhard-Gran M: </w:t>
      </w:r>
      <w:r>
        <w:rPr>
          <w:rStyle w:val="bold"/>
        </w:rPr>
        <w:t>The impact of subjective birth experiences on post-traumatic stress symptoms: a longitudinal study.</w:t>
      </w:r>
      <w:r>
        <w:t xml:space="preserve"> </w:t>
      </w:r>
      <w:r>
        <w:rPr>
          <w:rStyle w:val="italic"/>
        </w:rPr>
        <w:t xml:space="preserve">Arch </w:t>
      </w:r>
      <w:proofErr w:type="spellStart"/>
      <w:r>
        <w:rPr>
          <w:rStyle w:val="italic"/>
        </w:rPr>
        <w:t>Womens</w:t>
      </w:r>
      <w:proofErr w:type="spellEnd"/>
      <w:r>
        <w:rPr>
          <w:rStyle w:val="italic"/>
        </w:rPr>
        <w:t xml:space="preserve"> </w:t>
      </w:r>
      <w:proofErr w:type="spellStart"/>
      <w:r>
        <w:rPr>
          <w:rStyle w:val="italic"/>
        </w:rPr>
        <w:t>Ment</w:t>
      </w:r>
      <w:proofErr w:type="spellEnd"/>
      <w:r>
        <w:rPr>
          <w:rStyle w:val="italic"/>
        </w:rPr>
        <w:t xml:space="preserve"> Health</w:t>
      </w:r>
      <w:r>
        <w:t xml:space="preserve"> 2013, </w:t>
      </w:r>
      <w:r>
        <w:rPr>
          <w:rStyle w:val="bold"/>
        </w:rPr>
        <w:t>16</w:t>
      </w:r>
      <w:r>
        <w:t>(1)</w:t>
      </w:r>
      <w:r>
        <w:rPr>
          <w:rStyle w:val="bold"/>
        </w:rPr>
        <w:t>:</w:t>
      </w:r>
      <w:r>
        <w:t>1–10.</w:t>
      </w:r>
    </w:p>
    <w:p w:rsidR="00ED12A8" w:rsidRDefault="00555858">
      <w:pPr>
        <w:pStyle w:val="citation"/>
        <w:jc w:val="both"/>
      </w:pPr>
      <w:r>
        <w:t xml:space="preserve">40. </w:t>
      </w:r>
      <w:proofErr w:type="spellStart"/>
      <w:r>
        <w:t>Gjestland</w:t>
      </w:r>
      <w:proofErr w:type="spellEnd"/>
      <w:r>
        <w:t xml:space="preserve"> K, </w:t>
      </w:r>
      <w:proofErr w:type="spellStart"/>
      <w:r>
        <w:t>Bø</w:t>
      </w:r>
      <w:proofErr w:type="spellEnd"/>
      <w:r>
        <w:t xml:space="preserve"> K, Owe KM, </w:t>
      </w:r>
      <w:proofErr w:type="gramStart"/>
      <w:r>
        <w:t>Eberhard</w:t>
      </w:r>
      <w:proofErr w:type="gramEnd"/>
      <w:r>
        <w:t xml:space="preserve">-Gran M: </w:t>
      </w:r>
      <w:r>
        <w:rPr>
          <w:rStyle w:val="bold"/>
        </w:rPr>
        <w:t xml:space="preserve">Do pregnant women follow exercise guidelines? </w:t>
      </w:r>
      <w:proofErr w:type="gramStart"/>
      <w:r>
        <w:rPr>
          <w:rStyle w:val="bold"/>
        </w:rPr>
        <w:t>Prevalence data among 3482 women, and prediction of low-back pain, pelvic girdle pain and depression.</w:t>
      </w:r>
      <w:proofErr w:type="gramEnd"/>
      <w:r>
        <w:t xml:space="preserve"> </w:t>
      </w:r>
      <w:r>
        <w:rPr>
          <w:rStyle w:val="italic"/>
        </w:rPr>
        <w:t>Br J Sports Med</w:t>
      </w:r>
      <w:r>
        <w:t xml:space="preserve"> 2013, </w:t>
      </w:r>
      <w:r>
        <w:rPr>
          <w:rStyle w:val="bold"/>
        </w:rPr>
        <w:t>47</w:t>
      </w:r>
      <w:r>
        <w:t>(8)</w:t>
      </w:r>
      <w:r>
        <w:rPr>
          <w:rStyle w:val="bold"/>
        </w:rPr>
        <w:t>:</w:t>
      </w:r>
      <w:r>
        <w:t>515–520.</w:t>
      </w:r>
    </w:p>
    <w:p w:rsidR="00ED12A8" w:rsidRDefault="00555858">
      <w:pPr>
        <w:pStyle w:val="citation"/>
        <w:jc w:val="both"/>
      </w:pPr>
      <w:r>
        <w:t xml:space="preserve">41. </w:t>
      </w:r>
      <w:proofErr w:type="spellStart"/>
      <w:r>
        <w:t>Dorheim</w:t>
      </w:r>
      <w:proofErr w:type="spellEnd"/>
      <w:r>
        <w:t xml:space="preserve"> SK, </w:t>
      </w:r>
      <w:proofErr w:type="spellStart"/>
      <w:r>
        <w:t>Bjorvatn</w:t>
      </w:r>
      <w:proofErr w:type="spellEnd"/>
      <w:r>
        <w:t xml:space="preserve"> B, Eberhard-Gran M: </w:t>
      </w:r>
      <w:r>
        <w:rPr>
          <w:rStyle w:val="bold"/>
        </w:rPr>
        <w:t>Sick leave during pregnancy: a longitudinal study of rates and risk factors in a Norwegian population.</w:t>
      </w:r>
      <w:r>
        <w:t xml:space="preserve"> </w:t>
      </w:r>
      <w:r>
        <w:rPr>
          <w:rStyle w:val="italic"/>
        </w:rPr>
        <w:t>BJOG</w:t>
      </w:r>
      <w:r>
        <w:t xml:space="preserve"> 2013, </w:t>
      </w:r>
      <w:r>
        <w:rPr>
          <w:rStyle w:val="bold"/>
        </w:rPr>
        <w:t>120</w:t>
      </w:r>
      <w:r>
        <w:t>(5)</w:t>
      </w:r>
      <w:r>
        <w:rPr>
          <w:rStyle w:val="bold"/>
        </w:rPr>
        <w:t>:</w:t>
      </w:r>
      <w:r>
        <w:t>521–530.</w:t>
      </w:r>
    </w:p>
    <w:p w:rsidR="00ED12A8" w:rsidRDefault="00555858">
      <w:pPr>
        <w:pStyle w:val="citation"/>
        <w:jc w:val="both"/>
      </w:pPr>
      <w:r>
        <w:t xml:space="preserve">42. </w:t>
      </w:r>
      <w:proofErr w:type="spellStart"/>
      <w:r>
        <w:t>Storksen</w:t>
      </w:r>
      <w:proofErr w:type="spellEnd"/>
      <w:r>
        <w:t xml:space="preserve"> HT, </w:t>
      </w:r>
      <w:r>
        <w:rPr>
          <w:rStyle w:val="italic"/>
        </w:rPr>
        <w:t>et al</w:t>
      </w:r>
      <w:r>
        <w:t xml:space="preserve">: </w:t>
      </w:r>
      <w:r>
        <w:rPr>
          <w:rStyle w:val="bold"/>
        </w:rPr>
        <w:t>Fear of childbirth; the relation to anxiety and depression.</w:t>
      </w:r>
      <w:r>
        <w:t xml:space="preserve"> </w:t>
      </w:r>
      <w:proofErr w:type="spellStart"/>
      <w:r>
        <w:rPr>
          <w:rStyle w:val="italic"/>
        </w:rPr>
        <w:t>Acta</w:t>
      </w:r>
      <w:proofErr w:type="spellEnd"/>
      <w:r>
        <w:rPr>
          <w:rStyle w:val="italic"/>
        </w:rPr>
        <w:t xml:space="preserve"> </w:t>
      </w:r>
      <w:proofErr w:type="spellStart"/>
      <w:r>
        <w:rPr>
          <w:rStyle w:val="italic"/>
        </w:rPr>
        <w:t>Obstet</w:t>
      </w:r>
      <w:proofErr w:type="spellEnd"/>
      <w:r>
        <w:rPr>
          <w:rStyle w:val="italic"/>
        </w:rPr>
        <w:t xml:space="preserve"> </w:t>
      </w:r>
      <w:proofErr w:type="spellStart"/>
      <w:r>
        <w:rPr>
          <w:rStyle w:val="italic"/>
        </w:rPr>
        <w:t>Gynecol</w:t>
      </w:r>
      <w:proofErr w:type="spellEnd"/>
      <w:r>
        <w:rPr>
          <w:rStyle w:val="italic"/>
        </w:rPr>
        <w:t xml:space="preserve"> </w:t>
      </w:r>
      <w:proofErr w:type="spellStart"/>
      <w:r>
        <w:rPr>
          <w:rStyle w:val="italic"/>
        </w:rPr>
        <w:t>Scand</w:t>
      </w:r>
      <w:proofErr w:type="spellEnd"/>
      <w:r>
        <w:t xml:space="preserve"> 2012, </w:t>
      </w:r>
      <w:r>
        <w:rPr>
          <w:rStyle w:val="bold"/>
        </w:rPr>
        <w:t>91</w:t>
      </w:r>
      <w:r>
        <w:t>(2)</w:t>
      </w:r>
      <w:r>
        <w:rPr>
          <w:rStyle w:val="bold"/>
        </w:rPr>
        <w:t>:</w:t>
      </w:r>
      <w:r>
        <w:t>237–242.</w:t>
      </w:r>
    </w:p>
    <w:p w:rsidR="00ED12A8" w:rsidRDefault="00555858">
      <w:pPr>
        <w:pStyle w:val="citation"/>
        <w:jc w:val="both"/>
      </w:pPr>
      <w:r>
        <w:t xml:space="preserve">43. </w:t>
      </w:r>
      <w:proofErr w:type="spellStart"/>
      <w:r>
        <w:t>Storksen</w:t>
      </w:r>
      <w:proofErr w:type="spellEnd"/>
      <w:r>
        <w:t xml:space="preserve"> HT, Eberhard-Gran M, </w:t>
      </w:r>
      <w:proofErr w:type="spellStart"/>
      <w:proofErr w:type="gramStart"/>
      <w:r>
        <w:t>Garthus</w:t>
      </w:r>
      <w:proofErr w:type="gramEnd"/>
      <w:r>
        <w:t>-Niegel</w:t>
      </w:r>
      <w:proofErr w:type="spellEnd"/>
      <w:r>
        <w:t xml:space="preserve"> S, </w:t>
      </w:r>
      <w:proofErr w:type="spellStart"/>
      <w:r>
        <w:t>Eskild</w:t>
      </w:r>
      <w:proofErr w:type="spellEnd"/>
      <w:r>
        <w:t xml:space="preserve"> A: </w:t>
      </w:r>
      <w:r>
        <w:rPr>
          <w:rStyle w:val="bold"/>
        </w:rPr>
        <w:t>The impact of previous birth experiences on maternal fear of childbirth.</w:t>
      </w:r>
      <w:r>
        <w:t xml:space="preserve"> </w:t>
      </w:r>
      <w:proofErr w:type="spellStart"/>
      <w:r>
        <w:rPr>
          <w:rStyle w:val="italic"/>
        </w:rPr>
        <w:t>Acta</w:t>
      </w:r>
      <w:proofErr w:type="spellEnd"/>
      <w:r>
        <w:rPr>
          <w:rStyle w:val="italic"/>
        </w:rPr>
        <w:t xml:space="preserve"> </w:t>
      </w:r>
      <w:proofErr w:type="spellStart"/>
      <w:r>
        <w:rPr>
          <w:rStyle w:val="italic"/>
        </w:rPr>
        <w:t>Obstet</w:t>
      </w:r>
      <w:proofErr w:type="spellEnd"/>
      <w:r>
        <w:rPr>
          <w:rStyle w:val="italic"/>
        </w:rPr>
        <w:t xml:space="preserve"> </w:t>
      </w:r>
      <w:proofErr w:type="spellStart"/>
      <w:r>
        <w:rPr>
          <w:rStyle w:val="italic"/>
        </w:rPr>
        <w:t>Gynecol</w:t>
      </w:r>
      <w:proofErr w:type="spellEnd"/>
      <w:r>
        <w:rPr>
          <w:rStyle w:val="italic"/>
        </w:rPr>
        <w:t xml:space="preserve"> </w:t>
      </w:r>
      <w:proofErr w:type="spellStart"/>
      <w:r>
        <w:rPr>
          <w:rStyle w:val="italic"/>
        </w:rPr>
        <w:t>Scand</w:t>
      </w:r>
      <w:proofErr w:type="spellEnd"/>
      <w:r>
        <w:t xml:space="preserve"> 2013, </w:t>
      </w:r>
      <w:r>
        <w:rPr>
          <w:rStyle w:val="bold"/>
        </w:rPr>
        <w:t>92</w:t>
      </w:r>
      <w:r>
        <w:t>(3)</w:t>
      </w:r>
      <w:r>
        <w:rPr>
          <w:rStyle w:val="bold"/>
        </w:rPr>
        <w:t>:</w:t>
      </w:r>
      <w:r>
        <w:t>318–324.</w:t>
      </w:r>
    </w:p>
    <w:p w:rsidR="00ED12A8" w:rsidRDefault="00555858">
      <w:pPr>
        <w:pStyle w:val="citation"/>
        <w:jc w:val="both"/>
      </w:pPr>
      <w:r>
        <w:t xml:space="preserve">44. </w:t>
      </w:r>
      <w:proofErr w:type="spellStart"/>
      <w:r>
        <w:t>Dorheim</w:t>
      </w:r>
      <w:proofErr w:type="spellEnd"/>
      <w:r>
        <w:t xml:space="preserve"> SK, </w:t>
      </w:r>
      <w:proofErr w:type="spellStart"/>
      <w:r>
        <w:t>Bjorvatn</w:t>
      </w:r>
      <w:proofErr w:type="spellEnd"/>
      <w:r>
        <w:t xml:space="preserve"> B, </w:t>
      </w:r>
      <w:proofErr w:type="gramStart"/>
      <w:r>
        <w:t>Eberhard</w:t>
      </w:r>
      <w:proofErr w:type="gramEnd"/>
      <w:r>
        <w:t xml:space="preserve">-Gran M: </w:t>
      </w:r>
      <w:r>
        <w:rPr>
          <w:rStyle w:val="bold"/>
        </w:rPr>
        <w:t xml:space="preserve">Can insomnia in pregnancy predict postpartum depression? </w:t>
      </w:r>
      <w:proofErr w:type="gramStart"/>
      <w:r>
        <w:rPr>
          <w:rStyle w:val="bold"/>
        </w:rPr>
        <w:t>A longitudinal, population-based study.</w:t>
      </w:r>
      <w:proofErr w:type="gramEnd"/>
      <w:r>
        <w:t xml:space="preserve"> </w:t>
      </w:r>
      <w:proofErr w:type="spellStart"/>
      <w:r>
        <w:rPr>
          <w:rStyle w:val="italic"/>
        </w:rPr>
        <w:t>PLoS</w:t>
      </w:r>
      <w:proofErr w:type="spellEnd"/>
      <w:r>
        <w:rPr>
          <w:rStyle w:val="italic"/>
        </w:rPr>
        <w:t xml:space="preserve"> ONE</w:t>
      </w:r>
      <w:r>
        <w:t xml:space="preserve"> 2014, </w:t>
      </w:r>
      <w:r>
        <w:rPr>
          <w:rStyle w:val="bold"/>
        </w:rPr>
        <w:t>9</w:t>
      </w:r>
      <w:r>
        <w:t>(4)</w:t>
      </w:r>
      <w:r>
        <w:rPr>
          <w:rStyle w:val="bold"/>
        </w:rPr>
        <w:t>:</w:t>
      </w:r>
      <w:r>
        <w:t>e94674.</w:t>
      </w:r>
    </w:p>
    <w:p w:rsidR="00ED12A8" w:rsidRDefault="00555858">
      <w:pPr>
        <w:pStyle w:val="citation"/>
        <w:jc w:val="both"/>
      </w:pPr>
      <w:r>
        <w:t xml:space="preserve">45. </w:t>
      </w:r>
      <w:proofErr w:type="spellStart"/>
      <w:r>
        <w:t>Garthus-Niegel</w:t>
      </w:r>
      <w:proofErr w:type="spellEnd"/>
      <w:r>
        <w:t xml:space="preserve"> S, </w:t>
      </w:r>
      <w:proofErr w:type="spellStart"/>
      <w:r>
        <w:t>Størksen</w:t>
      </w:r>
      <w:proofErr w:type="spellEnd"/>
      <w:r>
        <w:t xml:space="preserve"> HT, </w:t>
      </w:r>
      <w:proofErr w:type="spellStart"/>
      <w:r>
        <w:t>Torgersen</w:t>
      </w:r>
      <w:proofErr w:type="spellEnd"/>
      <w:r>
        <w:t xml:space="preserve"> L, Von </w:t>
      </w:r>
      <w:proofErr w:type="spellStart"/>
      <w:r>
        <w:t>Soest</w:t>
      </w:r>
      <w:proofErr w:type="spellEnd"/>
      <w:r>
        <w:t xml:space="preserve"> T, Eberhard-Gran M: </w:t>
      </w:r>
      <w:r>
        <w:rPr>
          <w:rStyle w:val="bold"/>
        </w:rPr>
        <w:t xml:space="preserve">The </w:t>
      </w:r>
      <w:proofErr w:type="spellStart"/>
      <w:r>
        <w:rPr>
          <w:rStyle w:val="bold"/>
        </w:rPr>
        <w:t>Wijma</w:t>
      </w:r>
      <w:proofErr w:type="spellEnd"/>
      <w:r>
        <w:rPr>
          <w:rStyle w:val="bold"/>
        </w:rPr>
        <w:t xml:space="preserve"> Delivery Expectancy/Experience Questionnaire: a factor analytic study.</w:t>
      </w:r>
      <w:r>
        <w:t xml:space="preserve"> </w:t>
      </w:r>
      <w:r>
        <w:rPr>
          <w:rStyle w:val="italic"/>
        </w:rPr>
        <w:t xml:space="preserve">J </w:t>
      </w:r>
      <w:proofErr w:type="spellStart"/>
      <w:r>
        <w:rPr>
          <w:rStyle w:val="italic"/>
        </w:rPr>
        <w:t>Psychosom</w:t>
      </w:r>
      <w:proofErr w:type="spellEnd"/>
      <w:r>
        <w:rPr>
          <w:rStyle w:val="italic"/>
        </w:rPr>
        <w:t xml:space="preserve"> </w:t>
      </w:r>
      <w:proofErr w:type="spellStart"/>
      <w:r>
        <w:rPr>
          <w:rStyle w:val="italic"/>
        </w:rPr>
        <w:t>Obstet</w:t>
      </w:r>
      <w:proofErr w:type="spellEnd"/>
      <w:r>
        <w:rPr>
          <w:rStyle w:val="italic"/>
        </w:rPr>
        <w:t xml:space="preserve"> </w:t>
      </w:r>
      <w:proofErr w:type="spellStart"/>
      <w:r>
        <w:rPr>
          <w:rStyle w:val="italic"/>
        </w:rPr>
        <w:t>Gynaecol</w:t>
      </w:r>
      <w:proofErr w:type="spellEnd"/>
      <w:r>
        <w:t xml:space="preserve"> 2011, </w:t>
      </w:r>
      <w:r>
        <w:rPr>
          <w:rStyle w:val="bold"/>
        </w:rPr>
        <w:t>32</w:t>
      </w:r>
      <w:r>
        <w:t>(3)</w:t>
      </w:r>
      <w:r>
        <w:rPr>
          <w:rStyle w:val="bold"/>
        </w:rPr>
        <w:t>:</w:t>
      </w:r>
      <w:r>
        <w:t>160–163.</w:t>
      </w:r>
    </w:p>
    <w:p w:rsidR="00ED12A8" w:rsidRDefault="00555858">
      <w:pPr>
        <w:pStyle w:val="citation"/>
        <w:jc w:val="both"/>
      </w:pPr>
      <w:r>
        <w:lastRenderedPageBreak/>
        <w:t xml:space="preserve">46. Eberhard-Gran M, </w:t>
      </w:r>
      <w:proofErr w:type="spellStart"/>
      <w:r>
        <w:t>Eskild</w:t>
      </w:r>
      <w:proofErr w:type="spellEnd"/>
      <w:r>
        <w:t xml:space="preserve"> A, </w:t>
      </w:r>
      <w:proofErr w:type="spellStart"/>
      <w:r>
        <w:t>Tambs</w:t>
      </w:r>
      <w:proofErr w:type="spellEnd"/>
      <w:r>
        <w:t xml:space="preserve"> K, </w:t>
      </w:r>
      <w:proofErr w:type="spellStart"/>
      <w:r>
        <w:t>Schei</w:t>
      </w:r>
      <w:proofErr w:type="spellEnd"/>
      <w:r>
        <w:t xml:space="preserve"> B, </w:t>
      </w:r>
      <w:proofErr w:type="spellStart"/>
      <w:r>
        <w:t>Opjordsmoen</w:t>
      </w:r>
      <w:proofErr w:type="spellEnd"/>
      <w:r>
        <w:t xml:space="preserve"> S: </w:t>
      </w:r>
      <w:r>
        <w:rPr>
          <w:rStyle w:val="bold"/>
        </w:rPr>
        <w:t>The Edinburgh Postnatal Depression Scale: validation in a Norwegian community sample.</w:t>
      </w:r>
      <w:r>
        <w:t xml:space="preserve"> </w:t>
      </w:r>
      <w:r>
        <w:rPr>
          <w:rStyle w:val="italic"/>
        </w:rPr>
        <w:t>Nord J Psychiatry</w:t>
      </w:r>
      <w:r>
        <w:t xml:space="preserve"> 2001, </w:t>
      </w:r>
      <w:r>
        <w:rPr>
          <w:rStyle w:val="bold"/>
        </w:rPr>
        <w:t>55</w:t>
      </w:r>
      <w:r>
        <w:t>(2)</w:t>
      </w:r>
      <w:r>
        <w:rPr>
          <w:rStyle w:val="bold"/>
        </w:rPr>
        <w:t>:</w:t>
      </w:r>
      <w:r>
        <w:t>113–117.</w:t>
      </w:r>
    </w:p>
    <w:p w:rsidR="00ED12A8" w:rsidRDefault="00555858">
      <w:pPr>
        <w:pStyle w:val="citation"/>
        <w:jc w:val="both"/>
      </w:pPr>
      <w:r>
        <w:t xml:space="preserve">47. Marshall J: </w:t>
      </w:r>
      <w:r>
        <w:rPr>
          <w:rStyle w:val="italic"/>
        </w:rPr>
        <w:t xml:space="preserve">Edinburgh </w:t>
      </w:r>
      <w:proofErr w:type="spellStart"/>
      <w:r>
        <w:rPr>
          <w:rStyle w:val="italic"/>
        </w:rPr>
        <w:t>Poastnatal</w:t>
      </w:r>
      <w:proofErr w:type="spellEnd"/>
      <w:r>
        <w:rPr>
          <w:rStyle w:val="italic"/>
        </w:rPr>
        <w:t xml:space="preserve"> depression scale (EPDS) Translated Versions.</w:t>
      </w:r>
      <w:r w:rsidR="00523A8F">
        <w:t xml:space="preserve"> </w:t>
      </w:r>
      <w:r>
        <w:t>2006.</w:t>
      </w:r>
    </w:p>
    <w:p w:rsidR="00ED12A8" w:rsidRDefault="00555858">
      <w:pPr>
        <w:pStyle w:val="citation"/>
        <w:jc w:val="both"/>
      </w:pPr>
      <w:r>
        <w:t xml:space="preserve">48. Harris B, </w:t>
      </w:r>
      <w:proofErr w:type="spellStart"/>
      <w:r>
        <w:t>Huckle</w:t>
      </w:r>
      <w:proofErr w:type="spellEnd"/>
      <w:r>
        <w:t xml:space="preserve"> P, Thomas R, </w:t>
      </w:r>
      <w:proofErr w:type="gramStart"/>
      <w:r>
        <w:t>Johns</w:t>
      </w:r>
      <w:proofErr w:type="gramEnd"/>
      <w:r>
        <w:t xml:space="preserve"> S, Fung H: </w:t>
      </w:r>
      <w:r>
        <w:rPr>
          <w:rStyle w:val="bold"/>
        </w:rPr>
        <w:t>The use of rating scales to identify post-natal depression.</w:t>
      </w:r>
      <w:r>
        <w:t xml:space="preserve"> </w:t>
      </w:r>
      <w:r>
        <w:rPr>
          <w:rStyle w:val="italic"/>
        </w:rPr>
        <w:t>Br J Psychiatry</w:t>
      </w:r>
      <w:r>
        <w:t xml:space="preserve"> 1989, </w:t>
      </w:r>
      <w:r>
        <w:rPr>
          <w:rStyle w:val="bold"/>
        </w:rPr>
        <w:t>154:</w:t>
      </w:r>
      <w:r>
        <w:t>813–817.</w:t>
      </w:r>
    </w:p>
    <w:p w:rsidR="00ED12A8" w:rsidRDefault="00555858">
      <w:pPr>
        <w:pStyle w:val="citation"/>
        <w:jc w:val="both"/>
      </w:pPr>
      <w:r>
        <w:t xml:space="preserve">49. </w:t>
      </w:r>
      <w:proofErr w:type="spellStart"/>
      <w:r>
        <w:t>Kendler</w:t>
      </w:r>
      <w:proofErr w:type="spellEnd"/>
      <w:r>
        <w:t xml:space="preserve"> KS, Neale MC, Kessler RC, Health AC, Eaves LJ: </w:t>
      </w:r>
      <w:r>
        <w:rPr>
          <w:rStyle w:val="bold"/>
        </w:rPr>
        <w:t>The lifetime history of major depression in women, Reliability of diagnosis and heritability.</w:t>
      </w:r>
      <w:r>
        <w:t xml:space="preserve"> </w:t>
      </w:r>
      <w:r>
        <w:rPr>
          <w:rStyle w:val="italic"/>
        </w:rPr>
        <w:t>Arch Gen Psychiatry</w:t>
      </w:r>
      <w:r>
        <w:t xml:space="preserve"> 1993, </w:t>
      </w:r>
      <w:r>
        <w:rPr>
          <w:rStyle w:val="bold"/>
        </w:rPr>
        <w:t>50</w:t>
      </w:r>
      <w:r>
        <w:t>(11)</w:t>
      </w:r>
      <w:r>
        <w:rPr>
          <w:rStyle w:val="bold"/>
        </w:rPr>
        <w:t>:</w:t>
      </w:r>
      <w:r>
        <w:t>863–870.</w:t>
      </w:r>
    </w:p>
    <w:p w:rsidR="00ED12A8" w:rsidRDefault="00555858" w:rsidP="00892ABB">
      <w:r>
        <w:t xml:space="preserve">50. </w:t>
      </w:r>
      <w:proofErr w:type="spellStart"/>
      <w:r>
        <w:t>Sommer</w:t>
      </w:r>
      <w:proofErr w:type="spellEnd"/>
      <w:r>
        <w:t xml:space="preserve"> C, Sletner L, Jenum AK, </w:t>
      </w:r>
      <w:proofErr w:type="spellStart"/>
      <w:r>
        <w:t>Morkrid</w:t>
      </w:r>
      <w:proofErr w:type="spellEnd"/>
      <w:r>
        <w:t xml:space="preserve"> K, Andersen LF, </w:t>
      </w:r>
      <w:proofErr w:type="spellStart"/>
      <w:r>
        <w:t>Birkeland</w:t>
      </w:r>
      <w:proofErr w:type="spellEnd"/>
      <w:r>
        <w:t xml:space="preserve"> KI, </w:t>
      </w:r>
      <w:proofErr w:type="spellStart"/>
      <w:r>
        <w:t>Mosdøl</w:t>
      </w:r>
      <w:proofErr w:type="spellEnd"/>
      <w:r>
        <w:t xml:space="preserve"> A: </w:t>
      </w:r>
      <w:r>
        <w:rPr>
          <w:rStyle w:val="bold"/>
        </w:rPr>
        <w:t>Ethnic differences in maternal dietary patterns are largely explained by socio-economic score and integration score: a population-based study.</w:t>
      </w:r>
      <w:r>
        <w:t xml:space="preserve"> </w:t>
      </w:r>
      <w:r>
        <w:rPr>
          <w:rStyle w:val="italic"/>
        </w:rPr>
        <w:t xml:space="preserve">Food </w:t>
      </w:r>
      <w:proofErr w:type="spellStart"/>
      <w:r>
        <w:rPr>
          <w:rStyle w:val="italic"/>
        </w:rPr>
        <w:t>Nutr</w:t>
      </w:r>
      <w:proofErr w:type="spellEnd"/>
      <w:r>
        <w:rPr>
          <w:rStyle w:val="italic"/>
        </w:rPr>
        <w:t xml:space="preserve"> Res</w:t>
      </w:r>
      <w:r>
        <w:t xml:space="preserve"> </w:t>
      </w:r>
      <w:r w:rsidRPr="00892ABB">
        <w:rPr>
          <w:color w:val="FF0000"/>
        </w:rPr>
        <w:t>2013</w:t>
      </w:r>
      <w:r w:rsidR="00892ABB" w:rsidRPr="00892ABB">
        <w:rPr>
          <w:color w:val="FF0000"/>
        </w:rPr>
        <w:t xml:space="preserve"> </w:t>
      </w:r>
      <w:proofErr w:type="spellStart"/>
      <w:proofErr w:type="gramStart"/>
      <w:r w:rsidR="00892ABB" w:rsidRPr="00892ABB">
        <w:rPr>
          <w:color w:val="FF0000"/>
        </w:rPr>
        <w:t>jul</w:t>
      </w:r>
      <w:proofErr w:type="spellEnd"/>
      <w:proofErr w:type="gramEnd"/>
      <w:r w:rsidR="00892ABB" w:rsidRPr="00892ABB">
        <w:rPr>
          <w:color w:val="FF0000"/>
        </w:rPr>
        <w:t xml:space="preserve"> 8;</w:t>
      </w:r>
      <w:r w:rsidRPr="00892ABB">
        <w:rPr>
          <w:color w:val="FF0000"/>
        </w:rPr>
        <w:t xml:space="preserve"> </w:t>
      </w:r>
      <w:r w:rsidRPr="00892ABB">
        <w:rPr>
          <w:rStyle w:val="bold"/>
          <w:color w:val="FF0000"/>
        </w:rPr>
        <w:t>57</w:t>
      </w:r>
      <w:r w:rsidRPr="00892ABB">
        <w:rPr>
          <w:color w:val="FF0000"/>
        </w:rPr>
        <w:t>.</w:t>
      </w:r>
      <w:r w:rsidR="00892ABB" w:rsidRPr="00892ABB">
        <w:rPr>
          <w:color w:val="FF0000"/>
        </w:rPr>
        <w:t xml:space="preserve"> </w:t>
      </w:r>
      <w:proofErr w:type="spellStart"/>
      <w:proofErr w:type="gramStart"/>
      <w:r w:rsidR="00892ABB" w:rsidRPr="00892ABB">
        <w:rPr>
          <w:rFonts w:ascii="Arial" w:hAnsi="Arial" w:cs="Arial"/>
          <w:color w:val="FF0000"/>
          <w:sz w:val="20"/>
          <w:szCs w:val="20"/>
        </w:rPr>
        <w:t>doi</w:t>
      </w:r>
      <w:proofErr w:type="spellEnd"/>
      <w:proofErr w:type="gramEnd"/>
      <w:r w:rsidR="00892ABB" w:rsidRPr="00892ABB">
        <w:rPr>
          <w:rFonts w:ascii="Arial" w:hAnsi="Arial" w:cs="Arial"/>
          <w:color w:val="FF0000"/>
          <w:sz w:val="20"/>
          <w:szCs w:val="20"/>
        </w:rPr>
        <w:t>: 10.3402/fnr.v57i0.21164</w:t>
      </w:r>
    </w:p>
    <w:p w:rsidR="00ED12A8" w:rsidRDefault="00555858">
      <w:pPr>
        <w:pStyle w:val="citation"/>
        <w:jc w:val="both"/>
      </w:pPr>
      <w:r>
        <w:t xml:space="preserve">51. </w:t>
      </w:r>
      <w:proofErr w:type="spellStart"/>
      <w:r>
        <w:t>Apter</w:t>
      </w:r>
      <w:proofErr w:type="spellEnd"/>
      <w:r>
        <w:t xml:space="preserve"> G, </w:t>
      </w:r>
      <w:proofErr w:type="spellStart"/>
      <w:r>
        <w:t>Devouche</w:t>
      </w:r>
      <w:proofErr w:type="spellEnd"/>
      <w:r>
        <w:t xml:space="preserve"> E, </w:t>
      </w:r>
      <w:proofErr w:type="spellStart"/>
      <w:r>
        <w:t>Gratier</w:t>
      </w:r>
      <w:proofErr w:type="spellEnd"/>
      <w:r>
        <w:t xml:space="preserve"> M: </w:t>
      </w:r>
      <w:r>
        <w:rPr>
          <w:rStyle w:val="bold"/>
        </w:rPr>
        <w:t>Perinatal mental health.</w:t>
      </w:r>
      <w:r>
        <w:t xml:space="preserve"> </w:t>
      </w:r>
      <w:r>
        <w:rPr>
          <w:rStyle w:val="italic"/>
        </w:rPr>
        <w:t xml:space="preserve">J </w:t>
      </w:r>
      <w:proofErr w:type="spellStart"/>
      <w:r>
        <w:rPr>
          <w:rStyle w:val="italic"/>
        </w:rPr>
        <w:t>Nerv</w:t>
      </w:r>
      <w:proofErr w:type="spellEnd"/>
      <w:r>
        <w:rPr>
          <w:rStyle w:val="italic"/>
        </w:rPr>
        <w:t xml:space="preserve"> </w:t>
      </w:r>
      <w:proofErr w:type="spellStart"/>
      <w:r>
        <w:rPr>
          <w:rStyle w:val="italic"/>
        </w:rPr>
        <w:t>Ment</w:t>
      </w:r>
      <w:proofErr w:type="spellEnd"/>
      <w:r>
        <w:rPr>
          <w:rStyle w:val="italic"/>
        </w:rPr>
        <w:t xml:space="preserve"> Dis</w:t>
      </w:r>
      <w:r>
        <w:t xml:space="preserve"> 2011, </w:t>
      </w:r>
      <w:r>
        <w:rPr>
          <w:rStyle w:val="bold"/>
        </w:rPr>
        <w:t>199</w:t>
      </w:r>
      <w:r>
        <w:t>(8)</w:t>
      </w:r>
      <w:r>
        <w:rPr>
          <w:rStyle w:val="bold"/>
        </w:rPr>
        <w:t>:</w:t>
      </w:r>
      <w:r>
        <w:t>575–577.</w:t>
      </w:r>
    </w:p>
    <w:p w:rsidR="00ED12A8" w:rsidRDefault="00555858">
      <w:pPr>
        <w:pStyle w:val="citation"/>
        <w:jc w:val="both"/>
      </w:pPr>
      <w:r>
        <w:t xml:space="preserve">52. Bennett HA, </w:t>
      </w:r>
      <w:proofErr w:type="spellStart"/>
      <w:r>
        <w:t>Einarson</w:t>
      </w:r>
      <w:proofErr w:type="spellEnd"/>
      <w:r>
        <w:t xml:space="preserve"> A, </w:t>
      </w:r>
      <w:proofErr w:type="spellStart"/>
      <w:r>
        <w:t>Taddio</w:t>
      </w:r>
      <w:proofErr w:type="spellEnd"/>
      <w:r>
        <w:t xml:space="preserve"> A, </w:t>
      </w:r>
      <w:proofErr w:type="spellStart"/>
      <w:r>
        <w:t>Koren</w:t>
      </w:r>
      <w:proofErr w:type="spellEnd"/>
      <w:r>
        <w:t xml:space="preserve"> G, </w:t>
      </w:r>
      <w:proofErr w:type="spellStart"/>
      <w:proofErr w:type="gramStart"/>
      <w:r>
        <w:t>Einarson</w:t>
      </w:r>
      <w:proofErr w:type="spellEnd"/>
      <w:proofErr w:type="gramEnd"/>
      <w:r>
        <w:t xml:space="preserve"> TR: </w:t>
      </w:r>
      <w:r>
        <w:rPr>
          <w:rStyle w:val="bold"/>
        </w:rPr>
        <w:t>Prevalence of depression during pregnancy: systematic review.</w:t>
      </w:r>
      <w:r>
        <w:t xml:space="preserve"> </w:t>
      </w:r>
      <w:proofErr w:type="spellStart"/>
      <w:r>
        <w:rPr>
          <w:rStyle w:val="italic"/>
        </w:rPr>
        <w:t>Obstet</w:t>
      </w:r>
      <w:proofErr w:type="spellEnd"/>
      <w:r>
        <w:rPr>
          <w:rStyle w:val="italic"/>
        </w:rPr>
        <w:t xml:space="preserve"> </w:t>
      </w:r>
      <w:proofErr w:type="spellStart"/>
      <w:r>
        <w:rPr>
          <w:rStyle w:val="italic"/>
        </w:rPr>
        <w:t>Gynecol</w:t>
      </w:r>
      <w:proofErr w:type="spellEnd"/>
      <w:r>
        <w:t xml:space="preserve"> 2004, </w:t>
      </w:r>
      <w:r>
        <w:rPr>
          <w:rStyle w:val="bold"/>
        </w:rPr>
        <w:t>103</w:t>
      </w:r>
      <w:r>
        <w:t>(4)</w:t>
      </w:r>
      <w:r>
        <w:rPr>
          <w:rStyle w:val="bold"/>
        </w:rPr>
        <w:t>:</w:t>
      </w:r>
      <w:r>
        <w:t>698–709.</w:t>
      </w:r>
    </w:p>
    <w:p w:rsidR="00ED12A8" w:rsidRDefault="00555858">
      <w:pPr>
        <w:pStyle w:val="citation"/>
        <w:jc w:val="both"/>
      </w:pPr>
      <w:r>
        <w:t xml:space="preserve">53. </w:t>
      </w:r>
      <w:proofErr w:type="spellStart"/>
      <w:r>
        <w:t>Onozawa</w:t>
      </w:r>
      <w:proofErr w:type="spellEnd"/>
      <w:r>
        <w:t xml:space="preserve"> K, </w:t>
      </w:r>
      <w:r>
        <w:rPr>
          <w:rStyle w:val="italic"/>
        </w:rPr>
        <w:t>et al</w:t>
      </w:r>
      <w:r>
        <w:t xml:space="preserve">: </w:t>
      </w:r>
      <w:r>
        <w:rPr>
          <w:rStyle w:val="bold"/>
        </w:rPr>
        <w:t>High EPDS scores in women from ethnic minorities living in London.</w:t>
      </w:r>
      <w:r>
        <w:t xml:space="preserve"> </w:t>
      </w:r>
      <w:r>
        <w:rPr>
          <w:rStyle w:val="italic"/>
        </w:rPr>
        <w:t xml:space="preserve">Arch </w:t>
      </w:r>
      <w:proofErr w:type="spellStart"/>
      <w:r>
        <w:rPr>
          <w:rStyle w:val="italic"/>
        </w:rPr>
        <w:t>Womens</w:t>
      </w:r>
      <w:proofErr w:type="spellEnd"/>
      <w:r>
        <w:rPr>
          <w:rStyle w:val="italic"/>
        </w:rPr>
        <w:t xml:space="preserve"> </w:t>
      </w:r>
      <w:proofErr w:type="spellStart"/>
      <w:r>
        <w:rPr>
          <w:rStyle w:val="italic"/>
        </w:rPr>
        <w:t>Ment</w:t>
      </w:r>
      <w:proofErr w:type="spellEnd"/>
      <w:r>
        <w:rPr>
          <w:rStyle w:val="italic"/>
        </w:rPr>
        <w:t xml:space="preserve"> Health</w:t>
      </w:r>
      <w:r>
        <w:t xml:space="preserve"> 2003, </w:t>
      </w:r>
      <w:r>
        <w:rPr>
          <w:rStyle w:val="bold"/>
        </w:rPr>
        <w:t>6</w:t>
      </w:r>
      <w:r>
        <w:t>(</w:t>
      </w:r>
      <w:proofErr w:type="spellStart"/>
      <w:r>
        <w:t>Suppl</w:t>
      </w:r>
      <w:proofErr w:type="spellEnd"/>
      <w:r>
        <w:t xml:space="preserve"> 2)</w:t>
      </w:r>
      <w:r>
        <w:rPr>
          <w:rStyle w:val="bold"/>
        </w:rPr>
        <w:t>:</w:t>
      </w:r>
      <w:r>
        <w:t>S51–S55.</w:t>
      </w:r>
    </w:p>
    <w:p w:rsidR="00ED12A8" w:rsidRDefault="00555858">
      <w:pPr>
        <w:pStyle w:val="citation"/>
        <w:jc w:val="both"/>
      </w:pPr>
      <w:r>
        <w:t xml:space="preserve">54. </w:t>
      </w:r>
      <w:proofErr w:type="spellStart"/>
      <w:r>
        <w:t>Giardinelli</w:t>
      </w:r>
      <w:proofErr w:type="spellEnd"/>
      <w:r>
        <w:t xml:space="preserve"> L, </w:t>
      </w:r>
      <w:proofErr w:type="spellStart"/>
      <w:r>
        <w:t>Innocenti</w:t>
      </w:r>
      <w:proofErr w:type="spellEnd"/>
      <w:r>
        <w:t xml:space="preserve"> A, </w:t>
      </w:r>
      <w:proofErr w:type="spellStart"/>
      <w:r>
        <w:t>Benni</w:t>
      </w:r>
      <w:proofErr w:type="spellEnd"/>
      <w:r>
        <w:t xml:space="preserve"> L, </w:t>
      </w:r>
      <w:proofErr w:type="spellStart"/>
      <w:r>
        <w:t>Stefanini</w:t>
      </w:r>
      <w:proofErr w:type="spellEnd"/>
      <w:r>
        <w:t xml:space="preserve"> MC, </w:t>
      </w:r>
      <w:proofErr w:type="spellStart"/>
      <w:r>
        <w:t>Lino</w:t>
      </w:r>
      <w:proofErr w:type="spellEnd"/>
      <w:r>
        <w:t xml:space="preserve"> G, </w:t>
      </w:r>
      <w:proofErr w:type="spellStart"/>
      <w:r>
        <w:t>Lunardi</w:t>
      </w:r>
      <w:proofErr w:type="spellEnd"/>
      <w:r>
        <w:t xml:space="preserve"> C, </w:t>
      </w:r>
      <w:proofErr w:type="spellStart"/>
      <w:r>
        <w:t>Svelto</w:t>
      </w:r>
      <w:proofErr w:type="spellEnd"/>
      <w:r>
        <w:t xml:space="preserve"> V, </w:t>
      </w:r>
      <w:proofErr w:type="spellStart"/>
      <w:r>
        <w:t>Afshar</w:t>
      </w:r>
      <w:proofErr w:type="spellEnd"/>
      <w:r>
        <w:t xml:space="preserve"> S, </w:t>
      </w:r>
      <w:proofErr w:type="spellStart"/>
      <w:r>
        <w:t>Bovani</w:t>
      </w:r>
      <w:proofErr w:type="spellEnd"/>
      <w:r>
        <w:t xml:space="preserve"> R, </w:t>
      </w:r>
      <w:proofErr w:type="spellStart"/>
      <w:proofErr w:type="gramStart"/>
      <w:r>
        <w:t>Castellini</w:t>
      </w:r>
      <w:proofErr w:type="spellEnd"/>
      <w:proofErr w:type="gramEnd"/>
      <w:r>
        <w:t xml:space="preserve"> G, </w:t>
      </w:r>
      <w:proofErr w:type="spellStart"/>
      <w:r>
        <w:t>Faravelli</w:t>
      </w:r>
      <w:proofErr w:type="spellEnd"/>
      <w:r>
        <w:t xml:space="preserve"> C: </w:t>
      </w:r>
      <w:r>
        <w:rPr>
          <w:rStyle w:val="bold"/>
        </w:rPr>
        <w:t>Depression and anxiety in perinatal period: Prevalence and risk factors in an Italian sample.</w:t>
      </w:r>
      <w:r>
        <w:t xml:space="preserve"> </w:t>
      </w:r>
      <w:r>
        <w:rPr>
          <w:rStyle w:val="italic"/>
        </w:rPr>
        <w:t>Arch Women’s Mental Health</w:t>
      </w:r>
      <w:r>
        <w:t xml:space="preserve"> 2012, </w:t>
      </w:r>
      <w:r>
        <w:rPr>
          <w:rStyle w:val="bold"/>
        </w:rPr>
        <w:t>15</w:t>
      </w:r>
      <w:r>
        <w:t>(1)</w:t>
      </w:r>
      <w:r>
        <w:rPr>
          <w:rStyle w:val="bold"/>
        </w:rPr>
        <w:t>:</w:t>
      </w:r>
      <w:r>
        <w:t>21–30.</w:t>
      </w:r>
    </w:p>
    <w:p w:rsidR="00ED12A8" w:rsidRDefault="00555858">
      <w:pPr>
        <w:pStyle w:val="citation"/>
        <w:jc w:val="both"/>
      </w:pPr>
      <w:r>
        <w:t xml:space="preserve">55. Matteo B, Miriam L, Giulia B, Salvatore C, Anita C, </w:t>
      </w:r>
      <w:proofErr w:type="spellStart"/>
      <w:r>
        <w:t>Lorenza</w:t>
      </w:r>
      <w:proofErr w:type="spellEnd"/>
      <w:r>
        <w:t xml:space="preserve"> D, Diego M, Paola P, </w:t>
      </w:r>
      <w:proofErr w:type="spellStart"/>
      <w:r>
        <w:t>Michela</w:t>
      </w:r>
      <w:proofErr w:type="spellEnd"/>
      <w:r>
        <w:t xml:space="preserve"> R, Adriana Z, </w:t>
      </w:r>
      <w:proofErr w:type="spellStart"/>
      <w:r>
        <w:t>Stefania</w:t>
      </w:r>
      <w:proofErr w:type="spellEnd"/>
      <w:r>
        <w:t xml:space="preserve"> Z, Guido DS, </w:t>
      </w:r>
      <w:proofErr w:type="gramStart"/>
      <w:r>
        <w:t>Roberto</w:t>
      </w:r>
      <w:proofErr w:type="gramEnd"/>
      <w:r>
        <w:t xml:space="preserve"> L, </w:t>
      </w:r>
      <w:proofErr w:type="spellStart"/>
      <w:r>
        <w:t>Cesario</w:t>
      </w:r>
      <w:proofErr w:type="spellEnd"/>
      <w:r>
        <w:t xml:space="preserve"> B: </w:t>
      </w:r>
      <w:r>
        <w:rPr>
          <w:rStyle w:val="bold"/>
        </w:rPr>
        <w:t>Determinants of ante-partum depression: a multicenter study.</w:t>
      </w:r>
      <w:r>
        <w:t xml:space="preserve"> </w:t>
      </w:r>
      <w:proofErr w:type="spellStart"/>
      <w:r>
        <w:rPr>
          <w:rStyle w:val="italic"/>
        </w:rPr>
        <w:t>Soc</w:t>
      </w:r>
      <w:proofErr w:type="spellEnd"/>
      <w:r>
        <w:rPr>
          <w:rStyle w:val="italic"/>
        </w:rPr>
        <w:t xml:space="preserve"> Psychiatry </w:t>
      </w:r>
      <w:proofErr w:type="spellStart"/>
      <w:r>
        <w:rPr>
          <w:rStyle w:val="italic"/>
        </w:rPr>
        <w:t>Psychiatr</w:t>
      </w:r>
      <w:proofErr w:type="spellEnd"/>
      <w:r>
        <w:rPr>
          <w:rStyle w:val="italic"/>
        </w:rPr>
        <w:t xml:space="preserve"> </w:t>
      </w:r>
      <w:proofErr w:type="spellStart"/>
      <w:r>
        <w:rPr>
          <w:rStyle w:val="italic"/>
        </w:rPr>
        <w:t>Epidemiol</w:t>
      </w:r>
      <w:proofErr w:type="spellEnd"/>
      <w:r>
        <w:t xml:space="preserve"> 2012, </w:t>
      </w:r>
      <w:r>
        <w:rPr>
          <w:rStyle w:val="bold"/>
        </w:rPr>
        <w:t>47</w:t>
      </w:r>
      <w:r>
        <w:t>(12)</w:t>
      </w:r>
      <w:r>
        <w:rPr>
          <w:rStyle w:val="bold"/>
        </w:rPr>
        <w:t>:</w:t>
      </w:r>
      <w:r>
        <w:t>1959–1965.</w:t>
      </w:r>
    </w:p>
    <w:p w:rsidR="00ED12A8" w:rsidRDefault="00555858">
      <w:pPr>
        <w:pStyle w:val="citation"/>
        <w:jc w:val="both"/>
      </w:pPr>
      <w:r>
        <w:t xml:space="preserve">56. </w:t>
      </w:r>
      <w:proofErr w:type="spellStart"/>
      <w:r>
        <w:t>Karacam</w:t>
      </w:r>
      <w:proofErr w:type="spellEnd"/>
      <w:r>
        <w:t xml:space="preserve"> Z, </w:t>
      </w:r>
      <w:proofErr w:type="spellStart"/>
      <w:r>
        <w:t>Ancel</w:t>
      </w:r>
      <w:proofErr w:type="spellEnd"/>
      <w:r>
        <w:t xml:space="preserve"> G: </w:t>
      </w:r>
      <w:r>
        <w:rPr>
          <w:rStyle w:val="bold"/>
        </w:rPr>
        <w:t>Depression, anxiety and influencing factors in pregnancy: a study in a Turkish population.</w:t>
      </w:r>
      <w:r>
        <w:t xml:space="preserve"> </w:t>
      </w:r>
      <w:r>
        <w:rPr>
          <w:rStyle w:val="italic"/>
        </w:rPr>
        <w:t>Midwifery</w:t>
      </w:r>
      <w:r>
        <w:t xml:space="preserve"> 2009, </w:t>
      </w:r>
      <w:r>
        <w:rPr>
          <w:rStyle w:val="bold"/>
        </w:rPr>
        <w:t>25</w:t>
      </w:r>
      <w:r>
        <w:t>(4)</w:t>
      </w:r>
      <w:r>
        <w:rPr>
          <w:rStyle w:val="bold"/>
        </w:rPr>
        <w:t>:</w:t>
      </w:r>
      <w:r>
        <w:t>344–356.</w:t>
      </w:r>
    </w:p>
    <w:p w:rsidR="00ED12A8" w:rsidRDefault="00555858">
      <w:pPr>
        <w:pStyle w:val="citation"/>
        <w:jc w:val="both"/>
      </w:pPr>
      <w:r>
        <w:t xml:space="preserve">57. </w:t>
      </w:r>
      <w:proofErr w:type="spellStart"/>
      <w:r>
        <w:t>Golbasi</w:t>
      </w:r>
      <w:proofErr w:type="spellEnd"/>
      <w:r>
        <w:t xml:space="preserve"> Z, </w:t>
      </w:r>
      <w:proofErr w:type="spellStart"/>
      <w:r>
        <w:t>Kelleci</w:t>
      </w:r>
      <w:proofErr w:type="spellEnd"/>
      <w:r>
        <w:t xml:space="preserve"> M, </w:t>
      </w:r>
      <w:proofErr w:type="spellStart"/>
      <w:r>
        <w:t>Kisacik</w:t>
      </w:r>
      <w:proofErr w:type="spellEnd"/>
      <w:r>
        <w:t xml:space="preserve"> G, Cetin A: </w:t>
      </w:r>
      <w:r>
        <w:rPr>
          <w:rStyle w:val="bold"/>
        </w:rPr>
        <w:t>Prevalence and correlates of depression in pregnancy among Turkish women.</w:t>
      </w:r>
      <w:r>
        <w:t xml:space="preserve"> </w:t>
      </w:r>
      <w:proofErr w:type="spellStart"/>
      <w:r>
        <w:rPr>
          <w:rStyle w:val="italic"/>
        </w:rPr>
        <w:t>Matern</w:t>
      </w:r>
      <w:proofErr w:type="spellEnd"/>
      <w:r>
        <w:rPr>
          <w:rStyle w:val="italic"/>
        </w:rPr>
        <w:t xml:space="preserve"> Child Health J</w:t>
      </w:r>
      <w:r>
        <w:t xml:space="preserve"> 2010, </w:t>
      </w:r>
      <w:r>
        <w:rPr>
          <w:rStyle w:val="bold"/>
        </w:rPr>
        <w:t>14</w:t>
      </w:r>
      <w:r>
        <w:t>(4)</w:t>
      </w:r>
      <w:r>
        <w:rPr>
          <w:rStyle w:val="bold"/>
        </w:rPr>
        <w:t>:</w:t>
      </w:r>
      <w:r>
        <w:t>485–491.</w:t>
      </w:r>
    </w:p>
    <w:p w:rsidR="00ED12A8" w:rsidRDefault="00555858">
      <w:pPr>
        <w:pStyle w:val="citation"/>
        <w:jc w:val="both"/>
      </w:pPr>
      <w:r>
        <w:t xml:space="preserve">58. </w:t>
      </w:r>
      <w:proofErr w:type="spellStart"/>
      <w:r>
        <w:t>Abujilban</w:t>
      </w:r>
      <w:proofErr w:type="spellEnd"/>
      <w:r>
        <w:t xml:space="preserve"> SK, </w:t>
      </w:r>
      <w:r>
        <w:rPr>
          <w:rStyle w:val="italic"/>
        </w:rPr>
        <w:t>et al</w:t>
      </w:r>
      <w:r>
        <w:t xml:space="preserve">: </w:t>
      </w:r>
      <w:r>
        <w:rPr>
          <w:rStyle w:val="bold"/>
        </w:rPr>
        <w:t xml:space="preserve">Predictors of antenatal depression among </w:t>
      </w:r>
      <w:proofErr w:type="spellStart"/>
      <w:proofErr w:type="gramStart"/>
      <w:r>
        <w:rPr>
          <w:rStyle w:val="bold"/>
        </w:rPr>
        <w:t>jordanian</w:t>
      </w:r>
      <w:proofErr w:type="spellEnd"/>
      <w:proofErr w:type="gramEnd"/>
      <w:r>
        <w:rPr>
          <w:rStyle w:val="bold"/>
        </w:rPr>
        <w:t xml:space="preserve"> pregnant women in their third trimester.</w:t>
      </w:r>
      <w:r>
        <w:t xml:space="preserve"> </w:t>
      </w:r>
      <w:r>
        <w:rPr>
          <w:rStyle w:val="italic"/>
        </w:rPr>
        <w:t xml:space="preserve">Health Care Women </w:t>
      </w:r>
      <w:proofErr w:type="spellStart"/>
      <w:r>
        <w:rPr>
          <w:rStyle w:val="italic"/>
        </w:rPr>
        <w:t>Int</w:t>
      </w:r>
      <w:proofErr w:type="spellEnd"/>
      <w:r>
        <w:t xml:space="preserve"> 2014, </w:t>
      </w:r>
      <w:r>
        <w:rPr>
          <w:rStyle w:val="bold"/>
        </w:rPr>
        <w:t>35</w:t>
      </w:r>
      <w:r>
        <w:t>(2)</w:t>
      </w:r>
      <w:r>
        <w:rPr>
          <w:rStyle w:val="bold"/>
        </w:rPr>
        <w:t>:</w:t>
      </w:r>
      <w:r>
        <w:t>200–215.</w:t>
      </w:r>
    </w:p>
    <w:p w:rsidR="00ED12A8" w:rsidRDefault="00555858">
      <w:pPr>
        <w:pStyle w:val="citation"/>
        <w:jc w:val="both"/>
      </w:pPr>
      <w:r>
        <w:t xml:space="preserve">59. Mohammad KI, Gamble J, </w:t>
      </w:r>
      <w:proofErr w:type="spellStart"/>
      <w:proofErr w:type="gramStart"/>
      <w:r>
        <w:t>Creedy</w:t>
      </w:r>
      <w:proofErr w:type="spellEnd"/>
      <w:proofErr w:type="gramEnd"/>
      <w:r>
        <w:t xml:space="preserve"> DK: </w:t>
      </w:r>
      <w:r>
        <w:rPr>
          <w:rStyle w:val="bold"/>
        </w:rPr>
        <w:t>Prevalence and factors associated with the development of antenatal and postnatal depression among Jordanian women.</w:t>
      </w:r>
      <w:r>
        <w:t xml:space="preserve"> </w:t>
      </w:r>
      <w:r>
        <w:rPr>
          <w:rStyle w:val="italic"/>
        </w:rPr>
        <w:t>Midwifery</w:t>
      </w:r>
      <w:r>
        <w:t xml:space="preserve"> 2011, </w:t>
      </w:r>
      <w:r>
        <w:rPr>
          <w:rStyle w:val="bold"/>
        </w:rPr>
        <w:t>27</w:t>
      </w:r>
      <w:r>
        <w:t>(6)</w:t>
      </w:r>
      <w:r>
        <w:rPr>
          <w:rStyle w:val="bold"/>
        </w:rPr>
        <w:t>:</w:t>
      </w:r>
      <w:r>
        <w:t>e238–e245.</w:t>
      </w:r>
    </w:p>
    <w:p w:rsidR="00ED12A8" w:rsidRDefault="00555858">
      <w:pPr>
        <w:pStyle w:val="citation"/>
        <w:jc w:val="both"/>
      </w:pPr>
      <w:r>
        <w:lastRenderedPageBreak/>
        <w:t xml:space="preserve">60. Husain N, </w:t>
      </w:r>
      <w:proofErr w:type="spellStart"/>
      <w:r>
        <w:t>Parveen</w:t>
      </w:r>
      <w:proofErr w:type="spellEnd"/>
      <w:r>
        <w:t xml:space="preserve"> A, Husain M, Saeed Q, Jafri F, Rahman R, </w:t>
      </w:r>
      <w:proofErr w:type="spellStart"/>
      <w:r>
        <w:t>Tomenson</w:t>
      </w:r>
      <w:proofErr w:type="spellEnd"/>
      <w:r>
        <w:t xml:space="preserve"> B, </w:t>
      </w:r>
      <w:proofErr w:type="spellStart"/>
      <w:proofErr w:type="gramStart"/>
      <w:r>
        <w:t>Chaudry</w:t>
      </w:r>
      <w:proofErr w:type="spellEnd"/>
      <w:proofErr w:type="gramEnd"/>
      <w:r>
        <w:t xml:space="preserve"> IB: </w:t>
      </w:r>
      <w:r>
        <w:rPr>
          <w:rStyle w:val="bold"/>
        </w:rPr>
        <w:t>Prevalence and psychosocial correlates of perinatal depression: a cohort study from urban Pakistan.</w:t>
      </w:r>
      <w:r>
        <w:t xml:space="preserve"> </w:t>
      </w:r>
      <w:r>
        <w:rPr>
          <w:rStyle w:val="italic"/>
        </w:rPr>
        <w:t xml:space="preserve">Arch </w:t>
      </w:r>
      <w:proofErr w:type="spellStart"/>
      <w:r>
        <w:rPr>
          <w:rStyle w:val="italic"/>
        </w:rPr>
        <w:t>Womens</w:t>
      </w:r>
      <w:proofErr w:type="spellEnd"/>
      <w:r>
        <w:rPr>
          <w:rStyle w:val="italic"/>
        </w:rPr>
        <w:t xml:space="preserve"> </w:t>
      </w:r>
      <w:proofErr w:type="spellStart"/>
      <w:r>
        <w:rPr>
          <w:rStyle w:val="italic"/>
        </w:rPr>
        <w:t>Ment</w:t>
      </w:r>
      <w:proofErr w:type="spellEnd"/>
      <w:r>
        <w:rPr>
          <w:rStyle w:val="italic"/>
        </w:rPr>
        <w:t xml:space="preserve"> Health</w:t>
      </w:r>
      <w:r>
        <w:t xml:space="preserve"> 2011, </w:t>
      </w:r>
      <w:r>
        <w:rPr>
          <w:rStyle w:val="bold"/>
        </w:rPr>
        <w:t>14</w:t>
      </w:r>
      <w:r>
        <w:t>(5)</w:t>
      </w:r>
      <w:r>
        <w:rPr>
          <w:rStyle w:val="bold"/>
        </w:rPr>
        <w:t>:</w:t>
      </w:r>
      <w:r>
        <w:t>395–403.</w:t>
      </w:r>
    </w:p>
    <w:p w:rsidR="00ED12A8" w:rsidRDefault="00555858">
      <w:pPr>
        <w:pStyle w:val="citation"/>
        <w:jc w:val="both"/>
      </w:pPr>
      <w:r>
        <w:t xml:space="preserve">61. Rahman A, Iqbal Z, </w:t>
      </w:r>
      <w:proofErr w:type="gramStart"/>
      <w:r>
        <w:t>Harrington</w:t>
      </w:r>
      <w:proofErr w:type="gramEnd"/>
      <w:r>
        <w:t xml:space="preserve"> R: </w:t>
      </w:r>
      <w:r>
        <w:rPr>
          <w:rStyle w:val="bold"/>
        </w:rPr>
        <w:t>Life events, social support and depression in childbirth: perspectives from a rural community in the developing world.</w:t>
      </w:r>
      <w:r>
        <w:t xml:space="preserve"> </w:t>
      </w:r>
      <w:proofErr w:type="spellStart"/>
      <w:r>
        <w:rPr>
          <w:rStyle w:val="italic"/>
        </w:rPr>
        <w:t>Psychol</w:t>
      </w:r>
      <w:proofErr w:type="spellEnd"/>
      <w:r>
        <w:rPr>
          <w:rStyle w:val="italic"/>
        </w:rPr>
        <w:t xml:space="preserve"> Med</w:t>
      </w:r>
      <w:r>
        <w:t xml:space="preserve"> 2003, </w:t>
      </w:r>
      <w:r>
        <w:rPr>
          <w:rStyle w:val="bold"/>
        </w:rPr>
        <w:t>33</w:t>
      </w:r>
      <w:r>
        <w:t>(7)</w:t>
      </w:r>
      <w:r>
        <w:rPr>
          <w:rStyle w:val="bold"/>
        </w:rPr>
        <w:t>:</w:t>
      </w:r>
      <w:r>
        <w:t>1161–1167.</w:t>
      </w:r>
    </w:p>
    <w:p w:rsidR="00ED12A8" w:rsidRDefault="00555858">
      <w:pPr>
        <w:pStyle w:val="citation"/>
        <w:jc w:val="both"/>
      </w:pPr>
      <w:r>
        <w:t xml:space="preserve">62. </w:t>
      </w:r>
      <w:proofErr w:type="spellStart"/>
      <w:r>
        <w:t>Humayun</w:t>
      </w:r>
      <w:proofErr w:type="spellEnd"/>
      <w:r>
        <w:t xml:space="preserve"> A, </w:t>
      </w:r>
      <w:proofErr w:type="spellStart"/>
      <w:r>
        <w:t>Haider</w:t>
      </w:r>
      <w:proofErr w:type="spellEnd"/>
      <w:r>
        <w:t xml:space="preserve"> II, Imran N, Iqbal H, </w:t>
      </w:r>
      <w:proofErr w:type="spellStart"/>
      <w:r>
        <w:t>Humayun</w:t>
      </w:r>
      <w:proofErr w:type="spellEnd"/>
      <w:r>
        <w:t xml:space="preserve"> N: </w:t>
      </w:r>
      <w:r>
        <w:rPr>
          <w:rStyle w:val="bold"/>
        </w:rPr>
        <w:t xml:space="preserve">Antenatal depression and its predictors in </w:t>
      </w:r>
      <w:proofErr w:type="spellStart"/>
      <w:r>
        <w:rPr>
          <w:rStyle w:val="bold"/>
        </w:rPr>
        <w:t>lahore</w:t>
      </w:r>
      <w:proofErr w:type="spellEnd"/>
      <w:r>
        <w:rPr>
          <w:rStyle w:val="bold"/>
        </w:rPr>
        <w:t>, Pakistan.</w:t>
      </w:r>
      <w:r>
        <w:t xml:space="preserve"> </w:t>
      </w:r>
      <w:r>
        <w:rPr>
          <w:rStyle w:val="italic"/>
        </w:rPr>
        <w:t xml:space="preserve">East </w:t>
      </w:r>
      <w:proofErr w:type="spellStart"/>
      <w:r>
        <w:rPr>
          <w:rStyle w:val="italic"/>
        </w:rPr>
        <w:t>Mediterr</w:t>
      </w:r>
      <w:proofErr w:type="spellEnd"/>
      <w:r>
        <w:rPr>
          <w:rStyle w:val="italic"/>
        </w:rPr>
        <w:t xml:space="preserve"> Health J</w:t>
      </w:r>
      <w:r>
        <w:t xml:space="preserve"> 2013, </w:t>
      </w:r>
      <w:r>
        <w:rPr>
          <w:rStyle w:val="bold"/>
        </w:rPr>
        <w:t>19</w:t>
      </w:r>
      <w:r>
        <w:t>(4)</w:t>
      </w:r>
      <w:r>
        <w:rPr>
          <w:rStyle w:val="bold"/>
        </w:rPr>
        <w:t>:</w:t>
      </w:r>
      <w:r>
        <w:t>327–332.</w:t>
      </w:r>
    </w:p>
    <w:p w:rsidR="00ED12A8" w:rsidRDefault="00555858">
      <w:pPr>
        <w:pStyle w:val="citation"/>
        <w:jc w:val="both"/>
      </w:pPr>
      <w:r>
        <w:t xml:space="preserve">63. </w:t>
      </w:r>
      <w:proofErr w:type="spellStart"/>
      <w:r>
        <w:t>Savarimuthu</w:t>
      </w:r>
      <w:proofErr w:type="spellEnd"/>
      <w:r>
        <w:t xml:space="preserve"> RJ, </w:t>
      </w:r>
      <w:proofErr w:type="spellStart"/>
      <w:r>
        <w:t>Ezhilarasu</w:t>
      </w:r>
      <w:proofErr w:type="spellEnd"/>
      <w:r>
        <w:t xml:space="preserve"> P, Charles H, </w:t>
      </w:r>
      <w:proofErr w:type="spellStart"/>
      <w:r>
        <w:t>Antonisami</w:t>
      </w:r>
      <w:proofErr w:type="spellEnd"/>
      <w:r>
        <w:t xml:space="preserve"> B, Kurian S, Jacob KS: </w:t>
      </w:r>
      <w:r>
        <w:rPr>
          <w:rStyle w:val="bold"/>
        </w:rPr>
        <w:t>Post-partum depression in the community: a qualitative study from rural South India.</w:t>
      </w:r>
      <w:r>
        <w:t xml:space="preserve"> </w:t>
      </w:r>
      <w:proofErr w:type="spellStart"/>
      <w:r>
        <w:rPr>
          <w:rStyle w:val="italic"/>
        </w:rPr>
        <w:t>Int</w:t>
      </w:r>
      <w:proofErr w:type="spellEnd"/>
      <w:r>
        <w:rPr>
          <w:rStyle w:val="italic"/>
        </w:rPr>
        <w:t xml:space="preserve"> J </w:t>
      </w:r>
      <w:proofErr w:type="spellStart"/>
      <w:r>
        <w:rPr>
          <w:rStyle w:val="italic"/>
        </w:rPr>
        <w:t>Soc</w:t>
      </w:r>
      <w:proofErr w:type="spellEnd"/>
      <w:r>
        <w:rPr>
          <w:rStyle w:val="italic"/>
        </w:rPr>
        <w:t xml:space="preserve"> Psychiatry</w:t>
      </w:r>
      <w:r>
        <w:t xml:space="preserve"> 2010, </w:t>
      </w:r>
      <w:r>
        <w:rPr>
          <w:rStyle w:val="bold"/>
        </w:rPr>
        <w:t>56</w:t>
      </w:r>
      <w:r>
        <w:t>(1)</w:t>
      </w:r>
      <w:r>
        <w:rPr>
          <w:rStyle w:val="bold"/>
        </w:rPr>
        <w:t>:</w:t>
      </w:r>
      <w:r>
        <w:t>94–102.</w:t>
      </w:r>
    </w:p>
    <w:p w:rsidR="00ED12A8" w:rsidRDefault="00555858">
      <w:pPr>
        <w:pStyle w:val="citation"/>
        <w:jc w:val="both"/>
      </w:pPr>
      <w:r>
        <w:t xml:space="preserve">64. </w:t>
      </w:r>
      <w:proofErr w:type="spellStart"/>
      <w:r>
        <w:t>Adewuya</w:t>
      </w:r>
      <w:proofErr w:type="spellEnd"/>
      <w:r>
        <w:t xml:space="preserve"> AO, </w:t>
      </w:r>
      <w:r>
        <w:rPr>
          <w:rStyle w:val="italic"/>
        </w:rPr>
        <w:t>et al</w:t>
      </w:r>
      <w:r>
        <w:t xml:space="preserve">: </w:t>
      </w:r>
      <w:r>
        <w:rPr>
          <w:rStyle w:val="bold"/>
        </w:rPr>
        <w:t>Validation of the Edinburgh Postnatal Depression Scale as a screening tool for depression in late pregnancy among Nigerian women.</w:t>
      </w:r>
      <w:r>
        <w:t xml:space="preserve"> </w:t>
      </w:r>
      <w:r>
        <w:rPr>
          <w:rStyle w:val="italic"/>
        </w:rPr>
        <w:t xml:space="preserve">J </w:t>
      </w:r>
      <w:proofErr w:type="spellStart"/>
      <w:r>
        <w:rPr>
          <w:rStyle w:val="italic"/>
        </w:rPr>
        <w:t>Psychosom</w:t>
      </w:r>
      <w:proofErr w:type="spellEnd"/>
      <w:r>
        <w:rPr>
          <w:rStyle w:val="italic"/>
        </w:rPr>
        <w:t xml:space="preserve"> </w:t>
      </w:r>
      <w:proofErr w:type="spellStart"/>
      <w:r>
        <w:rPr>
          <w:rStyle w:val="italic"/>
        </w:rPr>
        <w:t>Obstet</w:t>
      </w:r>
      <w:proofErr w:type="spellEnd"/>
      <w:r>
        <w:rPr>
          <w:rStyle w:val="italic"/>
        </w:rPr>
        <w:t xml:space="preserve"> </w:t>
      </w:r>
      <w:proofErr w:type="spellStart"/>
      <w:r>
        <w:rPr>
          <w:rStyle w:val="italic"/>
        </w:rPr>
        <w:t>Gynaecol</w:t>
      </w:r>
      <w:proofErr w:type="spellEnd"/>
      <w:r>
        <w:t xml:space="preserve"> 2006, </w:t>
      </w:r>
      <w:r>
        <w:rPr>
          <w:rStyle w:val="bold"/>
        </w:rPr>
        <w:t>27</w:t>
      </w:r>
      <w:r>
        <w:t>(4)</w:t>
      </w:r>
      <w:r>
        <w:rPr>
          <w:rStyle w:val="bold"/>
        </w:rPr>
        <w:t>:</w:t>
      </w:r>
      <w:r>
        <w:t>267–272.</w:t>
      </w:r>
    </w:p>
    <w:p w:rsidR="00ED12A8" w:rsidRDefault="00555858">
      <w:pPr>
        <w:pStyle w:val="citation"/>
        <w:jc w:val="both"/>
      </w:pPr>
      <w:r>
        <w:t xml:space="preserve">65. </w:t>
      </w:r>
      <w:proofErr w:type="spellStart"/>
      <w:r>
        <w:t>Felice</w:t>
      </w:r>
      <w:proofErr w:type="spellEnd"/>
      <w:r>
        <w:t xml:space="preserve"> E, </w:t>
      </w:r>
      <w:proofErr w:type="spellStart"/>
      <w:r>
        <w:t>Saliba</w:t>
      </w:r>
      <w:proofErr w:type="spellEnd"/>
      <w:r>
        <w:t xml:space="preserve"> J, </w:t>
      </w:r>
      <w:proofErr w:type="spellStart"/>
      <w:r>
        <w:t>Grech</w:t>
      </w:r>
      <w:proofErr w:type="spellEnd"/>
      <w:r>
        <w:t xml:space="preserve"> J, Cox J: </w:t>
      </w:r>
      <w:r>
        <w:rPr>
          <w:rStyle w:val="bold"/>
        </w:rPr>
        <w:t>Validation of the Maltese version of the Edinburgh Postnatal Depression Scale.</w:t>
      </w:r>
      <w:r>
        <w:t xml:space="preserve"> </w:t>
      </w:r>
      <w:r>
        <w:rPr>
          <w:rStyle w:val="italic"/>
        </w:rPr>
        <w:t xml:space="preserve">Arch </w:t>
      </w:r>
      <w:proofErr w:type="spellStart"/>
      <w:r>
        <w:rPr>
          <w:rStyle w:val="italic"/>
        </w:rPr>
        <w:t>Womens</w:t>
      </w:r>
      <w:proofErr w:type="spellEnd"/>
      <w:r>
        <w:rPr>
          <w:rStyle w:val="italic"/>
        </w:rPr>
        <w:t xml:space="preserve"> </w:t>
      </w:r>
      <w:proofErr w:type="spellStart"/>
      <w:r>
        <w:rPr>
          <w:rStyle w:val="italic"/>
        </w:rPr>
        <w:t>Ment</w:t>
      </w:r>
      <w:proofErr w:type="spellEnd"/>
      <w:r>
        <w:rPr>
          <w:rStyle w:val="italic"/>
        </w:rPr>
        <w:t xml:space="preserve"> Health</w:t>
      </w:r>
      <w:r>
        <w:t xml:space="preserve"> 2006, </w:t>
      </w:r>
      <w:r>
        <w:rPr>
          <w:rStyle w:val="bold"/>
        </w:rPr>
        <w:t>9</w:t>
      </w:r>
      <w:r>
        <w:t>(2)</w:t>
      </w:r>
      <w:r>
        <w:rPr>
          <w:rStyle w:val="bold"/>
        </w:rPr>
        <w:t>:</w:t>
      </w:r>
      <w:r>
        <w:t>75–80.</w:t>
      </w:r>
    </w:p>
    <w:p w:rsidR="00ED12A8" w:rsidRDefault="00555858">
      <w:pPr>
        <w:pStyle w:val="citation"/>
        <w:jc w:val="both"/>
      </w:pPr>
      <w:r>
        <w:t xml:space="preserve">66. </w:t>
      </w:r>
      <w:proofErr w:type="spellStart"/>
      <w:r>
        <w:t>Bjerke</w:t>
      </w:r>
      <w:proofErr w:type="spellEnd"/>
      <w:r>
        <w:t xml:space="preserve"> SE, </w:t>
      </w:r>
      <w:proofErr w:type="spellStart"/>
      <w:r>
        <w:t>Vangen</w:t>
      </w:r>
      <w:proofErr w:type="spellEnd"/>
      <w:r>
        <w:t xml:space="preserve"> S, </w:t>
      </w:r>
      <w:proofErr w:type="spellStart"/>
      <w:r>
        <w:t>Nordhagen</w:t>
      </w:r>
      <w:proofErr w:type="spellEnd"/>
      <w:r>
        <w:t xml:space="preserve"> R, </w:t>
      </w:r>
      <w:proofErr w:type="spellStart"/>
      <w:r>
        <w:t>Ytterdahl</w:t>
      </w:r>
      <w:proofErr w:type="spellEnd"/>
      <w:r>
        <w:t xml:space="preserve"> T, Magnus P, Stray-Pedersen B: </w:t>
      </w:r>
      <w:r>
        <w:rPr>
          <w:rStyle w:val="bold"/>
        </w:rPr>
        <w:t>Postpartum depression among Pakistani women in Norway: prevalence and risk factors.</w:t>
      </w:r>
      <w:r>
        <w:t xml:space="preserve"> </w:t>
      </w:r>
      <w:r>
        <w:rPr>
          <w:rStyle w:val="italic"/>
        </w:rPr>
        <w:t xml:space="preserve">J </w:t>
      </w:r>
      <w:proofErr w:type="spellStart"/>
      <w:r>
        <w:rPr>
          <w:rStyle w:val="italic"/>
        </w:rPr>
        <w:t>Matern</w:t>
      </w:r>
      <w:proofErr w:type="spellEnd"/>
      <w:r>
        <w:rPr>
          <w:rStyle w:val="italic"/>
        </w:rPr>
        <w:t xml:space="preserve"> Fetal Neonatal Med</w:t>
      </w:r>
      <w:r>
        <w:t xml:space="preserve"> 2008, </w:t>
      </w:r>
      <w:r>
        <w:rPr>
          <w:rStyle w:val="bold"/>
        </w:rPr>
        <w:t>21</w:t>
      </w:r>
      <w:r>
        <w:t>(12)</w:t>
      </w:r>
      <w:r>
        <w:rPr>
          <w:rStyle w:val="bold"/>
        </w:rPr>
        <w:t>:</w:t>
      </w:r>
      <w:r>
        <w:t>889–894.</w:t>
      </w:r>
    </w:p>
    <w:p w:rsidR="00ED12A8" w:rsidRDefault="00555858">
      <w:pPr>
        <w:pStyle w:val="citation"/>
        <w:jc w:val="both"/>
      </w:pPr>
      <w:r>
        <w:t xml:space="preserve">67. Husain N, </w:t>
      </w:r>
      <w:proofErr w:type="spellStart"/>
      <w:r>
        <w:t>Bevc</w:t>
      </w:r>
      <w:proofErr w:type="spellEnd"/>
      <w:r>
        <w:t xml:space="preserve"> I, Husain M, </w:t>
      </w:r>
      <w:proofErr w:type="spellStart"/>
      <w:r>
        <w:t>Chaudry</w:t>
      </w:r>
      <w:proofErr w:type="spellEnd"/>
      <w:r>
        <w:t xml:space="preserve"> IB, </w:t>
      </w:r>
      <w:proofErr w:type="spellStart"/>
      <w:r>
        <w:t>Atif</w:t>
      </w:r>
      <w:proofErr w:type="spellEnd"/>
      <w:r>
        <w:t xml:space="preserve"> N, Rahman A: </w:t>
      </w:r>
      <w:r>
        <w:rPr>
          <w:rStyle w:val="bold"/>
        </w:rPr>
        <w:t>Prevalence and social correlates of postnatal depression in a low income country.</w:t>
      </w:r>
      <w:r>
        <w:t xml:space="preserve"> </w:t>
      </w:r>
      <w:r>
        <w:rPr>
          <w:rStyle w:val="italic"/>
        </w:rPr>
        <w:t xml:space="preserve">Arch </w:t>
      </w:r>
      <w:proofErr w:type="spellStart"/>
      <w:r>
        <w:rPr>
          <w:rStyle w:val="italic"/>
        </w:rPr>
        <w:t>Womens</w:t>
      </w:r>
      <w:proofErr w:type="spellEnd"/>
      <w:r>
        <w:rPr>
          <w:rStyle w:val="italic"/>
        </w:rPr>
        <w:t xml:space="preserve"> </w:t>
      </w:r>
      <w:proofErr w:type="spellStart"/>
      <w:r>
        <w:rPr>
          <w:rStyle w:val="italic"/>
        </w:rPr>
        <w:t>Ment</w:t>
      </w:r>
      <w:proofErr w:type="spellEnd"/>
      <w:r>
        <w:rPr>
          <w:rStyle w:val="italic"/>
        </w:rPr>
        <w:t xml:space="preserve"> Health</w:t>
      </w:r>
      <w:r>
        <w:t xml:space="preserve"> 2006, </w:t>
      </w:r>
      <w:r>
        <w:rPr>
          <w:rStyle w:val="bold"/>
        </w:rPr>
        <w:t>9</w:t>
      </w:r>
      <w:r>
        <w:t>(4)</w:t>
      </w:r>
      <w:r>
        <w:rPr>
          <w:rStyle w:val="bold"/>
        </w:rPr>
        <w:t>:</w:t>
      </w:r>
      <w:r>
        <w:t>197–202.</w:t>
      </w:r>
    </w:p>
    <w:p w:rsidR="00ED12A8" w:rsidRDefault="00555858">
      <w:pPr>
        <w:pStyle w:val="citation"/>
        <w:jc w:val="both"/>
      </w:pPr>
      <w:r>
        <w:t xml:space="preserve">68. Benjamin D, </w:t>
      </w:r>
      <w:proofErr w:type="spellStart"/>
      <w:r>
        <w:t>Chandramohan</w:t>
      </w:r>
      <w:proofErr w:type="spellEnd"/>
      <w:r>
        <w:t xml:space="preserve"> A, Annie IK, Prasad J, Jacob KS: </w:t>
      </w:r>
      <w:r>
        <w:rPr>
          <w:rStyle w:val="bold"/>
        </w:rPr>
        <w:t xml:space="preserve">Validation of the </w:t>
      </w:r>
      <w:proofErr w:type="spellStart"/>
      <w:proofErr w:type="gramStart"/>
      <w:r>
        <w:rPr>
          <w:rStyle w:val="bold"/>
        </w:rPr>
        <w:t>tamil</w:t>
      </w:r>
      <w:proofErr w:type="spellEnd"/>
      <w:proofErr w:type="gramEnd"/>
      <w:r>
        <w:rPr>
          <w:rStyle w:val="bold"/>
        </w:rPr>
        <w:t xml:space="preserve"> version of Edinburgh post-partum depression scale.</w:t>
      </w:r>
      <w:r>
        <w:t xml:space="preserve"> </w:t>
      </w:r>
      <w:r>
        <w:rPr>
          <w:rStyle w:val="italic"/>
        </w:rPr>
        <w:t xml:space="preserve">J </w:t>
      </w:r>
      <w:proofErr w:type="spellStart"/>
      <w:r>
        <w:rPr>
          <w:rStyle w:val="italic"/>
        </w:rPr>
        <w:t>Obstet</w:t>
      </w:r>
      <w:proofErr w:type="spellEnd"/>
      <w:r>
        <w:rPr>
          <w:rStyle w:val="italic"/>
        </w:rPr>
        <w:t xml:space="preserve"> </w:t>
      </w:r>
      <w:proofErr w:type="spellStart"/>
      <w:r>
        <w:rPr>
          <w:rStyle w:val="italic"/>
        </w:rPr>
        <w:t>Gynecol</w:t>
      </w:r>
      <w:proofErr w:type="spellEnd"/>
      <w:r>
        <w:rPr>
          <w:rStyle w:val="italic"/>
        </w:rPr>
        <w:t xml:space="preserve"> India</w:t>
      </w:r>
      <w:r>
        <w:t xml:space="preserve"> 2005, </w:t>
      </w:r>
      <w:r>
        <w:rPr>
          <w:rStyle w:val="bold"/>
        </w:rPr>
        <w:t>55:</w:t>
      </w:r>
      <w:r>
        <w:t>242–243.</w:t>
      </w:r>
    </w:p>
    <w:p w:rsidR="00ED12A8" w:rsidRDefault="00555858">
      <w:pPr>
        <w:pStyle w:val="citation"/>
        <w:jc w:val="both"/>
      </w:pPr>
      <w:r>
        <w:t xml:space="preserve">69. Aydin N, </w:t>
      </w:r>
      <w:proofErr w:type="spellStart"/>
      <w:r>
        <w:t>Inandi</w:t>
      </w:r>
      <w:proofErr w:type="spellEnd"/>
      <w:r>
        <w:t xml:space="preserve"> T, </w:t>
      </w:r>
      <w:proofErr w:type="spellStart"/>
      <w:r>
        <w:t>Yigit</w:t>
      </w:r>
      <w:proofErr w:type="spellEnd"/>
      <w:r>
        <w:t xml:space="preserve"> A, </w:t>
      </w:r>
      <w:proofErr w:type="spellStart"/>
      <w:r>
        <w:t>Hodoglugil</w:t>
      </w:r>
      <w:proofErr w:type="spellEnd"/>
      <w:r>
        <w:t xml:space="preserve"> NN: </w:t>
      </w:r>
      <w:r>
        <w:rPr>
          <w:rStyle w:val="bold"/>
        </w:rPr>
        <w:t>Validation of the Turkish version of the Edinburgh Postnatal Depression Scale among women within their first postpartum year.</w:t>
      </w:r>
      <w:r>
        <w:t xml:space="preserve"> </w:t>
      </w:r>
      <w:proofErr w:type="spellStart"/>
      <w:r>
        <w:rPr>
          <w:rStyle w:val="italic"/>
        </w:rPr>
        <w:t>Soc</w:t>
      </w:r>
      <w:proofErr w:type="spellEnd"/>
      <w:r>
        <w:rPr>
          <w:rStyle w:val="italic"/>
        </w:rPr>
        <w:t xml:space="preserve"> Psychiatry </w:t>
      </w:r>
      <w:proofErr w:type="spellStart"/>
      <w:r>
        <w:rPr>
          <w:rStyle w:val="italic"/>
        </w:rPr>
        <w:t>Psychiatr</w:t>
      </w:r>
      <w:proofErr w:type="spellEnd"/>
      <w:r>
        <w:rPr>
          <w:rStyle w:val="italic"/>
        </w:rPr>
        <w:t xml:space="preserve"> </w:t>
      </w:r>
      <w:proofErr w:type="spellStart"/>
      <w:r>
        <w:rPr>
          <w:rStyle w:val="italic"/>
        </w:rPr>
        <w:t>Epidemiol</w:t>
      </w:r>
      <w:proofErr w:type="spellEnd"/>
      <w:r>
        <w:t xml:space="preserve"> 2004, </w:t>
      </w:r>
      <w:r>
        <w:rPr>
          <w:rStyle w:val="bold"/>
        </w:rPr>
        <w:t>39</w:t>
      </w:r>
      <w:r>
        <w:t>(6)</w:t>
      </w:r>
      <w:r>
        <w:rPr>
          <w:rStyle w:val="bold"/>
        </w:rPr>
        <w:t>:</w:t>
      </w:r>
      <w:r>
        <w:t>483–486.</w:t>
      </w:r>
    </w:p>
    <w:sectPr w:rsidR="00ED12A8" w:rsidSect="008A1CD0">
      <w:pgSz w:w="11909" w:h="16834"/>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CD0"/>
    <w:rsid w:val="00003481"/>
    <w:rsid w:val="000A728A"/>
    <w:rsid w:val="00110056"/>
    <w:rsid w:val="00110AB5"/>
    <w:rsid w:val="002135D1"/>
    <w:rsid w:val="0026275D"/>
    <w:rsid w:val="002B18E6"/>
    <w:rsid w:val="002E2626"/>
    <w:rsid w:val="003323A9"/>
    <w:rsid w:val="0045227B"/>
    <w:rsid w:val="00463CA7"/>
    <w:rsid w:val="00486B3E"/>
    <w:rsid w:val="00495609"/>
    <w:rsid w:val="00523A8F"/>
    <w:rsid w:val="00555858"/>
    <w:rsid w:val="0070666B"/>
    <w:rsid w:val="00753086"/>
    <w:rsid w:val="00765AEA"/>
    <w:rsid w:val="00806E03"/>
    <w:rsid w:val="00813FDF"/>
    <w:rsid w:val="00892ABB"/>
    <w:rsid w:val="008A1CD0"/>
    <w:rsid w:val="008F448F"/>
    <w:rsid w:val="00917B56"/>
    <w:rsid w:val="00954FFA"/>
    <w:rsid w:val="00973131"/>
    <w:rsid w:val="00A34D91"/>
    <w:rsid w:val="00A351D8"/>
    <w:rsid w:val="00B40862"/>
    <w:rsid w:val="00BE121B"/>
    <w:rsid w:val="00D10183"/>
    <w:rsid w:val="00DC5BBA"/>
    <w:rsid w:val="00DD5A83"/>
    <w:rsid w:val="00ED12A8"/>
    <w:rsid w:val="00F1132F"/>
    <w:rsid w:val="00FF4B68"/>
  </w:rsids>
  <m:mathPr>
    <m:mathFont m:val="Cambria Math"/>
    <m:brkBin m:val="before"/>
    <m:brkBinSub m:val="--"/>
    <m:smallFrac m:val="0"/>
    <m:dispDef/>
    <m:lMargin m:val="0"/>
    <m:rMargin m:val="0"/>
    <m:defJc m:val="centerGroup"/>
    <m:wrapIndent m:val="1440"/>
    <m:intLim m:val="subSup"/>
    <m:naryLim m:val="undOvr"/>
  </m:mathPr>
  <w:attachedSchema w:val="http://www.w3.org/1998/Math/MathML"/>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2A8"/>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ED12A8"/>
    <w:pPr>
      <w:spacing w:before="100" w:beforeAutospacing="1" w:after="100" w:afterAutospacing="1"/>
    </w:pPr>
    <w:rPr>
      <w:b/>
      <w:bCs/>
      <w:sz w:val="40"/>
      <w:szCs w:val="40"/>
    </w:rPr>
  </w:style>
  <w:style w:type="paragraph" w:customStyle="1" w:styleId="Subtitle1">
    <w:name w:val="Subtitle1"/>
    <w:basedOn w:val="Normal"/>
    <w:rsid w:val="00ED12A8"/>
    <w:pPr>
      <w:spacing w:before="100" w:beforeAutospacing="1" w:after="100" w:afterAutospacing="1"/>
    </w:pPr>
    <w:rPr>
      <w:sz w:val="36"/>
      <w:szCs w:val="36"/>
    </w:rPr>
  </w:style>
  <w:style w:type="paragraph" w:customStyle="1" w:styleId="h1">
    <w:name w:val="h1"/>
    <w:basedOn w:val="Normal"/>
    <w:rsid w:val="00ED12A8"/>
    <w:pPr>
      <w:keepNext/>
      <w:spacing w:before="100" w:beforeAutospacing="1" w:after="100" w:afterAutospacing="1"/>
    </w:pPr>
    <w:rPr>
      <w:b/>
      <w:bCs/>
      <w:sz w:val="36"/>
      <w:szCs w:val="36"/>
    </w:rPr>
  </w:style>
  <w:style w:type="paragraph" w:customStyle="1" w:styleId="h2">
    <w:name w:val="h2"/>
    <w:basedOn w:val="Normal"/>
    <w:rsid w:val="00ED12A8"/>
    <w:pPr>
      <w:keepNext/>
      <w:spacing w:before="100" w:beforeAutospacing="1" w:after="100" w:afterAutospacing="1"/>
    </w:pPr>
    <w:rPr>
      <w:b/>
      <w:bCs/>
      <w:sz w:val="27"/>
      <w:szCs w:val="27"/>
    </w:rPr>
  </w:style>
  <w:style w:type="paragraph" w:customStyle="1" w:styleId="h3">
    <w:name w:val="h3"/>
    <w:basedOn w:val="Normal"/>
    <w:rsid w:val="00ED12A8"/>
    <w:pPr>
      <w:keepNext/>
      <w:spacing w:before="100" w:beforeAutospacing="1" w:after="100" w:afterAutospacing="1"/>
    </w:pPr>
    <w:rPr>
      <w:b/>
      <w:bCs/>
      <w:i/>
      <w:iCs/>
      <w:sz w:val="27"/>
      <w:szCs w:val="27"/>
    </w:rPr>
  </w:style>
  <w:style w:type="paragraph" w:customStyle="1" w:styleId="h4">
    <w:name w:val="h4"/>
    <w:basedOn w:val="Normal"/>
    <w:rsid w:val="00ED12A8"/>
    <w:pPr>
      <w:keepNext/>
      <w:spacing w:before="100" w:beforeAutospacing="1" w:after="100" w:afterAutospacing="1"/>
    </w:pPr>
    <w:rPr>
      <w:i/>
      <w:iCs/>
      <w:sz w:val="27"/>
      <w:szCs w:val="27"/>
    </w:rPr>
  </w:style>
  <w:style w:type="paragraph" w:customStyle="1" w:styleId="Emphasis1">
    <w:name w:val="Emphasis1"/>
    <w:basedOn w:val="Normal"/>
    <w:rsid w:val="00ED12A8"/>
    <w:pPr>
      <w:spacing w:before="100" w:beforeAutospacing="1" w:after="100" w:afterAutospacing="1"/>
    </w:pPr>
    <w:rPr>
      <w:i/>
      <w:iCs/>
    </w:rPr>
  </w:style>
  <w:style w:type="character" w:customStyle="1" w:styleId="bold">
    <w:name w:val="bold"/>
    <w:basedOn w:val="DefaultParagraphFont"/>
    <w:rsid w:val="00ED12A8"/>
    <w:rPr>
      <w:b/>
      <w:bCs/>
    </w:rPr>
  </w:style>
  <w:style w:type="character" w:customStyle="1" w:styleId="italic">
    <w:name w:val="italic"/>
    <w:basedOn w:val="DefaultParagraphFont"/>
    <w:rsid w:val="00ED12A8"/>
    <w:rPr>
      <w:i/>
      <w:iCs/>
    </w:rPr>
  </w:style>
  <w:style w:type="character" w:customStyle="1" w:styleId="smallcaps">
    <w:name w:val="smallcaps"/>
    <w:basedOn w:val="DefaultParagraphFont"/>
    <w:rsid w:val="00ED12A8"/>
    <w:rPr>
      <w:smallCaps/>
    </w:rPr>
  </w:style>
  <w:style w:type="character" w:customStyle="1" w:styleId="strikethrough">
    <w:name w:val="strikethrough"/>
    <w:basedOn w:val="DefaultParagraphFont"/>
    <w:rsid w:val="00ED12A8"/>
    <w:rPr>
      <w:strike/>
    </w:rPr>
  </w:style>
  <w:style w:type="character" w:customStyle="1" w:styleId="underline">
    <w:name w:val="underline"/>
    <w:basedOn w:val="DefaultParagraphFont"/>
    <w:rsid w:val="00ED12A8"/>
    <w:rPr>
      <w:u w:val="single"/>
    </w:rPr>
  </w:style>
  <w:style w:type="character" w:customStyle="1" w:styleId="bolditalic">
    <w:name w:val="bolditalic"/>
    <w:basedOn w:val="DefaultParagraphFont"/>
    <w:rsid w:val="00ED12A8"/>
    <w:rPr>
      <w:b/>
      <w:bCs/>
      <w:i/>
      <w:iCs/>
    </w:rPr>
  </w:style>
  <w:style w:type="character" w:customStyle="1" w:styleId="boldsmallcaps">
    <w:name w:val="boldsmallcaps"/>
    <w:basedOn w:val="DefaultParagraphFont"/>
    <w:rsid w:val="00ED12A8"/>
    <w:rPr>
      <w:b/>
      <w:bCs/>
      <w:smallCaps/>
    </w:rPr>
  </w:style>
  <w:style w:type="character" w:customStyle="1" w:styleId="boldunderline">
    <w:name w:val="boldunderline"/>
    <w:basedOn w:val="DefaultParagraphFont"/>
    <w:rsid w:val="00ED12A8"/>
    <w:rPr>
      <w:b/>
      <w:bCs/>
      <w:u w:val="single"/>
    </w:rPr>
  </w:style>
  <w:style w:type="character" w:customStyle="1" w:styleId="italicsmallcaps">
    <w:name w:val="italicsmallcaps"/>
    <w:basedOn w:val="DefaultParagraphFont"/>
    <w:rsid w:val="00ED12A8"/>
    <w:rPr>
      <w:i/>
      <w:iCs/>
      <w:smallCaps/>
    </w:rPr>
  </w:style>
  <w:style w:type="character" w:customStyle="1" w:styleId="italicunderline">
    <w:name w:val="italicunderline"/>
    <w:basedOn w:val="DefaultParagraphFont"/>
    <w:rsid w:val="00ED12A8"/>
    <w:rPr>
      <w:i/>
      <w:iCs/>
      <w:u w:val="single"/>
    </w:rPr>
  </w:style>
  <w:style w:type="character" w:customStyle="1" w:styleId="bolddoubleunderline">
    <w:name w:val="bolddoubleunderline"/>
    <w:basedOn w:val="DefaultParagraphFont"/>
    <w:rsid w:val="00ED12A8"/>
    <w:rPr>
      <w:b/>
      <w:bCs/>
    </w:rPr>
  </w:style>
  <w:style w:type="character" w:customStyle="1" w:styleId="italicdoubleunderline">
    <w:name w:val="italicdoubleunderline"/>
    <w:basedOn w:val="DefaultParagraphFont"/>
    <w:rsid w:val="00ED12A8"/>
    <w:rPr>
      <w:i/>
      <w:iCs/>
    </w:rPr>
  </w:style>
  <w:style w:type="character" w:customStyle="1" w:styleId="bolditalicdoubleunderline">
    <w:name w:val="bolditalicdoubleunderline"/>
    <w:basedOn w:val="DefaultParagraphFont"/>
    <w:rsid w:val="00ED12A8"/>
    <w:rPr>
      <w:b/>
      <w:bCs/>
      <w:i/>
      <w:iCs/>
    </w:rPr>
  </w:style>
  <w:style w:type="character" w:customStyle="1" w:styleId="bolditalicsmallcaps">
    <w:name w:val="bolditalicsmallcaps"/>
    <w:basedOn w:val="DefaultParagraphFont"/>
    <w:rsid w:val="00ED12A8"/>
    <w:rPr>
      <w:b/>
      <w:bCs/>
      <w:i/>
      <w:iCs/>
      <w:smallCaps/>
    </w:rPr>
  </w:style>
  <w:style w:type="character" w:customStyle="1" w:styleId="bolditalicunderline">
    <w:name w:val="bolditalicunderline"/>
    <w:basedOn w:val="DefaultParagraphFont"/>
    <w:rsid w:val="00ED12A8"/>
    <w:rPr>
      <w:b/>
      <w:bCs/>
      <w:i/>
      <w:iCs/>
      <w:u w:val="single"/>
    </w:rPr>
  </w:style>
  <w:style w:type="character" w:customStyle="1" w:styleId="doubleunderline">
    <w:name w:val="doubleunderline"/>
    <w:basedOn w:val="DefaultParagraphFont"/>
    <w:rsid w:val="00ED12A8"/>
  </w:style>
  <w:style w:type="character" w:customStyle="1" w:styleId="doubleunderlinesmallcaps">
    <w:name w:val="doubleunderlinesmallcaps"/>
    <w:basedOn w:val="DefaultParagraphFont"/>
    <w:rsid w:val="00ED12A8"/>
    <w:rPr>
      <w:smallCaps/>
    </w:rPr>
  </w:style>
  <w:style w:type="character" w:customStyle="1" w:styleId="underlinesmallcaps">
    <w:name w:val="underlinesmallcaps"/>
    <w:basedOn w:val="DefaultParagraphFont"/>
    <w:rsid w:val="00ED12A8"/>
    <w:rPr>
      <w:smallCaps/>
      <w:u w:val="single"/>
    </w:rPr>
  </w:style>
  <w:style w:type="character" w:customStyle="1" w:styleId="nonproportional">
    <w:name w:val="nonproportional"/>
    <w:basedOn w:val="DefaultParagraphFont"/>
    <w:rsid w:val="00ED12A8"/>
    <w:rPr>
      <w:rFonts w:ascii="Courier New" w:hAnsi="Courier New" w:cs="Courier New" w:hint="default"/>
    </w:rPr>
  </w:style>
  <w:style w:type="character" w:customStyle="1" w:styleId="sansserif">
    <w:name w:val="sansserif"/>
    <w:basedOn w:val="DefaultParagraphFont"/>
    <w:rsid w:val="00ED12A8"/>
    <w:rPr>
      <w:rFonts w:ascii="Comic Sans MS" w:hAnsi="Comic Sans MS" w:hint="default"/>
    </w:rPr>
  </w:style>
  <w:style w:type="paragraph" w:styleId="NormalWeb">
    <w:name w:val="Normal (Web)"/>
    <w:basedOn w:val="Normal"/>
    <w:uiPriority w:val="99"/>
    <w:semiHidden/>
    <w:unhideWhenUsed/>
    <w:rsid w:val="00ED12A8"/>
    <w:pPr>
      <w:spacing w:before="100" w:beforeAutospacing="1" w:after="100" w:afterAutospacing="1"/>
    </w:pPr>
  </w:style>
  <w:style w:type="paragraph" w:customStyle="1" w:styleId="float">
    <w:name w:val="float"/>
    <w:basedOn w:val="Normal"/>
    <w:rsid w:val="00ED12A8"/>
    <w:pPr>
      <w:spacing w:before="100" w:beforeAutospacing="1" w:after="100" w:afterAutospacing="1"/>
    </w:pPr>
  </w:style>
  <w:style w:type="character" w:customStyle="1" w:styleId="Caption1">
    <w:name w:val="Caption1"/>
    <w:basedOn w:val="DefaultParagraphFont"/>
    <w:rsid w:val="00ED12A8"/>
  </w:style>
  <w:style w:type="character" w:customStyle="1" w:styleId="simple">
    <w:name w:val="simple"/>
    <w:basedOn w:val="DefaultParagraphFont"/>
    <w:rsid w:val="00ED12A8"/>
  </w:style>
  <w:style w:type="paragraph" w:customStyle="1" w:styleId="articlenote">
    <w:name w:val="articlenote"/>
    <w:basedOn w:val="Normal"/>
    <w:rsid w:val="00ED12A8"/>
    <w:pPr>
      <w:spacing w:before="100" w:beforeAutospacing="1" w:after="100" w:afterAutospacing="1"/>
    </w:pPr>
  </w:style>
  <w:style w:type="paragraph" w:customStyle="1" w:styleId="citation">
    <w:name w:val="citation"/>
    <w:basedOn w:val="Normal"/>
    <w:rsid w:val="00ED12A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2A8"/>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ED12A8"/>
    <w:pPr>
      <w:spacing w:before="100" w:beforeAutospacing="1" w:after="100" w:afterAutospacing="1"/>
    </w:pPr>
    <w:rPr>
      <w:b/>
      <w:bCs/>
      <w:sz w:val="40"/>
      <w:szCs w:val="40"/>
    </w:rPr>
  </w:style>
  <w:style w:type="paragraph" w:customStyle="1" w:styleId="Subtitle1">
    <w:name w:val="Subtitle1"/>
    <w:basedOn w:val="Normal"/>
    <w:rsid w:val="00ED12A8"/>
    <w:pPr>
      <w:spacing w:before="100" w:beforeAutospacing="1" w:after="100" w:afterAutospacing="1"/>
    </w:pPr>
    <w:rPr>
      <w:sz w:val="36"/>
      <w:szCs w:val="36"/>
    </w:rPr>
  </w:style>
  <w:style w:type="paragraph" w:customStyle="1" w:styleId="h1">
    <w:name w:val="h1"/>
    <w:basedOn w:val="Normal"/>
    <w:rsid w:val="00ED12A8"/>
    <w:pPr>
      <w:keepNext/>
      <w:spacing w:before="100" w:beforeAutospacing="1" w:after="100" w:afterAutospacing="1"/>
    </w:pPr>
    <w:rPr>
      <w:b/>
      <w:bCs/>
      <w:sz w:val="36"/>
      <w:szCs w:val="36"/>
    </w:rPr>
  </w:style>
  <w:style w:type="paragraph" w:customStyle="1" w:styleId="h2">
    <w:name w:val="h2"/>
    <w:basedOn w:val="Normal"/>
    <w:rsid w:val="00ED12A8"/>
    <w:pPr>
      <w:keepNext/>
      <w:spacing w:before="100" w:beforeAutospacing="1" w:after="100" w:afterAutospacing="1"/>
    </w:pPr>
    <w:rPr>
      <w:b/>
      <w:bCs/>
      <w:sz w:val="27"/>
      <w:szCs w:val="27"/>
    </w:rPr>
  </w:style>
  <w:style w:type="paragraph" w:customStyle="1" w:styleId="h3">
    <w:name w:val="h3"/>
    <w:basedOn w:val="Normal"/>
    <w:rsid w:val="00ED12A8"/>
    <w:pPr>
      <w:keepNext/>
      <w:spacing w:before="100" w:beforeAutospacing="1" w:after="100" w:afterAutospacing="1"/>
    </w:pPr>
    <w:rPr>
      <w:b/>
      <w:bCs/>
      <w:i/>
      <w:iCs/>
      <w:sz w:val="27"/>
      <w:szCs w:val="27"/>
    </w:rPr>
  </w:style>
  <w:style w:type="paragraph" w:customStyle="1" w:styleId="h4">
    <w:name w:val="h4"/>
    <w:basedOn w:val="Normal"/>
    <w:rsid w:val="00ED12A8"/>
    <w:pPr>
      <w:keepNext/>
      <w:spacing w:before="100" w:beforeAutospacing="1" w:after="100" w:afterAutospacing="1"/>
    </w:pPr>
    <w:rPr>
      <w:i/>
      <w:iCs/>
      <w:sz w:val="27"/>
      <w:szCs w:val="27"/>
    </w:rPr>
  </w:style>
  <w:style w:type="paragraph" w:customStyle="1" w:styleId="Emphasis1">
    <w:name w:val="Emphasis1"/>
    <w:basedOn w:val="Normal"/>
    <w:rsid w:val="00ED12A8"/>
    <w:pPr>
      <w:spacing w:before="100" w:beforeAutospacing="1" w:after="100" w:afterAutospacing="1"/>
    </w:pPr>
    <w:rPr>
      <w:i/>
      <w:iCs/>
    </w:rPr>
  </w:style>
  <w:style w:type="character" w:customStyle="1" w:styleId="bold">
    <w:name w:val="bold"/>
    <w:basedOn w:val="DefaultParagraphFont"/>
    <w:rsid w:val="00ED12A8"/>
    <w:rPr>
      <w:b/>
      <w:bCs/>
    </w:rPr>
  </w:style>
  <w:style w:type="character" w:customStyle="1" w:styleId="italic">
    <w:name w:val="italic"/>
    <w:basedOn w:val="DefaultParagraphFont"/>
    <w:rsid w:val="00ED12A8"/>
    <w:rPr>
      <w:i/>
      <w:iCs/>
    </w:rPr>
  </w:style>
  <w:style w:type="character" w:customStyle="1" w:styleId="smallcaps">
    <w:name w:val="smallcaps"/>
    <w:basedOn w:val="DefaultParagraphFont"/>
    <w:rsid w:val="00ED12A8"/>
    <w:rPr>
      <w:smallCaps/>
    </w:rPr>
  </w:style>
  <w:style w:type="character" w:customStyle="1" w:styleId="strikethrough">
    <w:name w:val="strikethrough"/>
    <w:basedOn w:val="DefaultParagraphFont"/>
    <w:rsid w:val="00ED12A8"/>
    <w:rPr>
      <w:strike/>
    </w:rPr>
  </w:style>
  <w:style w:type="character" w:customStyle="1" w:styleId="underline">
    <w:name w:val="underline"/>
    <w:basedOn w:val="DefaultParagraphFont"/>
    <w:rsid w:val="00ED12A8"/>
    <w:rPr>
      <w:u w:val="single"/>
    </w:rPr>
  </w:style>
  <w:style w:type="character" w:customStyle="1" w:styleId="bolditalic">
    <w:name w:val="bolditalic"/>
    <w:basedOn w:val="DefaultParagraphFont"/>
    <w:rsid w:val="00ED12A8"/>
    <w:rPr>
      <w:b/>
      <w:bCs/>
      <w:i/>
      <w:iCs/>
    </w:rPr>
  </w:style>
  <w:style w:type="character" w:customStyle="1" w:styleId="boldsmallcaps">
    <w:name w:val="boldsmallcaps"/>
    <w:basedOn w:val="DefaultParagraphFont"/>
    <w:rsid w:val="00ED12A8"/>
    <w:rPr>
      <w:b/>
      <w:bCs/>
      <w:smallCaps/>
    </w:rPr>
  </w:style>
  <w:style w:type="character" w:customStyle="1" w:styleId="boldunderline">
    <w:name w:val="boldunderline"/>
    <w:basedOn w:val="DefaultParagraphFont"/>
    <w:rsid w:val="00ED12A8"/>
    <w:rPr>
      <w:b/>
      <w:bCs/>
      <w:u w:val="single"/>
    </w:rPr>
  </w:style>
  <w:style w:type="character" w:customStyle="1" w:styleId="italicsmallcaps">
    <w:name w:val="italicsmallcaps"/>
    <w:basedOn w:val="DefaultParagraphFont"/>
    <w:rsid w:val="00ED12A8"/>
    <w:rPr>
      <w:i/>
      <w:iCs/>
      <w:smallCaps/>
    </w:rPr>
  </w:style>
  <w:style w:type="character" w:customStyle="1" w:styleId="italicunderline">
    <w:name w:val="italicunderline"/>
    <w:basedOn w:val="DefaultParagraphFont"/>
    <w:rsid w:val="00ED12A8"/>
    <w:rPr>
      <w:i/>
      <w:iCs/>
      <w:u w:val="single"/>
    </w:rPr>
  </w:style>
  <w:style w:type="character" w:customStyle="1" w:styleId="bolddoubleunderline">
    <w:name w:val="bolddoubleunderline"/>
    <w:basedOn w:val="DefaultParagraphFont"/>
    <w:rsid w:val="00ED12A8"/>
    <w:rPr>
      <w:b/>
      <w:bCs/>
    </w:rPr>
  </w:style>
  <w:style w:type="character" w:customStyle="1" w:styleId="italicdoubleunderline">
    <w:name w:val="italicdoubleunderline"/>
    <w:basedOn w:val="DefaultParagraphFont"/>
    <w:rsid w:val="00ED12A8"/>
    <w:rPr>
      <w:i/>
      <w:iCs/>
    </w:rPr>
  </w:style>
  <w:style w:type="character" w:customStyle="1" w:styleId="bolditalicdoubleunderline">
    <w:name w:val="bolditalicdoubleunderline"/>
    <w:basedOn w:val="DefaultParagraphFont"/>
    <w:rsid w:val="00ED12A8"/>
    <w:rPr>
      <w:b/>
      <w:bCs/>
      <w:i/>
      <w:iCs/>
    </w:rPr>
  </w:style>
  <w:style w:type="character" w:customStyle="1" w:styleId="bolditalicsmallcaps">
    <w:name w:val="bolditalicsmallcaps"/>
    <w:basedOn w:val="DefaultParagraphFont"/>
    <w:rsid w:val="00ED12A8"/>
    <w:rPr>
      <w:b/>
      <w:bCs/>
      <w:i/>
      <w:iCs/>
      <w:smallCaps/>
    </w:rPr>
  </w:style>
  <w:style w:type="character" w:customStyle="1" w:styleId="bolditalicunderline">
    <w:name w:val="bolditalicunderline"/>
    <w:basedOn w:val="DefaultParagraphFont"/>
    <w:rsid w:val="00ED12A8"/>
    <w:rPr>
      <w:b/>
      <w:bCs/>
      <w:i/>
      <w:iCs/>
      <w:u w:val="single"/>
    </w:rPr>
  </w:style>
  <w:style w:type="character" w:customStyle="1" w:styleId="doubleunderline">
    <w:name w:val="doubleunderline"/>
    <w:basedOn w:val="DefaultParagraphFont"/>
    <w:rsid w:val="00ED12A8"/>
  </w:style>
  <w:style w:type="character" w:customStyle="1" w:styleId="doubleunderlinesmallcaps">
    <w:name w:val="doubleunderlinesmallcaps"/>
    <w:basedOn w:val="DefaultParagraphFont"/>
    <w:rsid w:val="00ED12A8"/>
    <w:rPr>
      <w:smallCaps/>
    </w:rPr>
  </w:style>
  <w:style w:type="character" w:customStyle="1" w:styleId="underlinesmallcaps">
    <w:name w:val="underlinesmallcaps"/>
    <w:basedOn w:val="DefaultParagraphFont"/>
    <w:rsid w:val="00ED12A8"/>
    <w:rPr>
      <w:smallCaps/>
      <w:u w:val="single"/>
    </w:rPr>
  </w:style>
  <w:style w:type="character" w:customStyle="1" w:styleId="nonproportional">
    <w:name w:val="nonproportional"/>
    <w:basedOn w:val="DefaultParagraphFont"/>
    <w:rsid w:val="00ED12A8"/>
    <w:rPr>
      <w:rFonts w:ascii="Courier New" w:hAnsi="Courier New" w:cs="Courier New" w:hint="default"/>
    </w:rPr>
  </w:style>
  <w:style w:type="character" w:customStyle="1" w:styleId="sansserif">
    <w:name w:val="sansserif"/>
    <w:basedOn w:val="DefaultParagraphFont"/>
    <w:rsid w:val="00ED12A8"/>
    <w:rPr>
      <w:rFonts w:ascii="Comic Sans MS" w:hAnsi="Comic Sans MS" w:hint="default"/>
    </w:rPr>
  </w:style>
  <w:style w:type="paragraph" w:styleId="NormalWeb">
    <w:name w:val="Normal (Web)"/>
    <w:basedOn w:val="Normal"/>
    <w:uiPriority w:val="99"/>
    <w:semiHidden/>
    <w:unhideWhenUsed/>
    <w:rsid w:val="00ED12A8"/>
    <w:pPr>
      <w:spacing w:before="100" w:beforeAutospacing="1" w:after="100" w:afterAutospacing="1"/>
    </w:pPr>
  </w:style>
  <w:style w:type="paragraph" w:customStyle="1" w:styleId="float">
    <w:name w:val="float"/>
    <w:basedOn w:val="Normal"/>
    <w:rsid w:val="00ED12A8"/>
    <w:pPr>
      <w:spacing w:before="100" w:beforeAutospacing="1" w:after="100" w:afterAutospacing="1"/>
    </w:pPr>
  </w:style>
  <w:style w:type="character" w:customStyle="1" w:styleId="Caption1">
    <w:name w:val="Caption1"/>
    <w:basedOn w:val="DefaultParagraphFont"/>
    <w:rsid w:val="00ED12A8"/>
  </w:style>
  <w:style w:type="character" w:customStyle="1" w:styleId="simple">
    <w:name w:val="simple"/>
    <w:basedOn w:val="DefaultParagraphFont"/>
    <w:rsid w:val="00ED12A8"/>
  </w:style>
  <w:style w:type="paragraph" w:customStyle="1" w:styleId="articlenote">
    <w:name w:val="articlenote"/>
    <w:basedOn w:val="Normal"/>
    <w:rsid w:val="00ED12A8"/>
    <w:pPr>
      <w:spacing w:before="100" w:beforeAutospacing="1" w:after="100" w:afterAutospacing="1"/>
    </w:pPr>
  </w:style>
  <w:style w:type="paragraph" w:customStyle="1" w:styleId="citation">
    <w:name w:val="citation"/>
    <w:basedOn w:val="Normal"/>
    <w:rsid w:val="00ED12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344499">
      <w:marLeft w:val="1134"/>
      <w:marRight w:val="0"/>
      <w:marTop w:val="0"/>
      <w:marBottom w:val="0"/>
      <w:divBdr>
        <w:top w:val="none" w:sz="0" w:space="0" w:color="auto"/>
        <w:left w:val="none" w:sz="0" w:space="0" w:color="auto"/>
        <w:bottom w:val="none" w:sz="0" w:space="0" w:color="auto"/>
        <w:right w:val="none" w:sz="0" w:space="0" w:color="auto"/>
      </w:divBdr>
    </w:div>
    <w:div w:id="2140761907">
      <w:marLeft w:val="0"/>
      <w:marRight w:val="0"/>
      <w:marTop w:val="0"/>
      <w:marBottom w:val="0"/>
      <w:divBdr>
        <w:top w:val="single" w:sz="6" w:space="2" w:color="auto"/>
        <w:left w:val="single" w:sz="6" w:space="2" w:color="auto"/>
        <w:bottom w:val="single" w:sz="6" w:space="2" w:color="auto"/>
        <w:right w:val="single" w:sz="6" w:space="2"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EBB54958.dotm</Template>
  <TotalTime>37</TotalTime>
  <Pages>21</Pages>
  <Words>8347</Words>
  <Characters>47012</Characters>
  <Application>Microsoft Office Word</Application>
  <DocSecurity>0</DocSecurity>
  <Lines>391</Lines>
  <Paragraphs>110</Paragraphs>
  <ScaleCrop>false</ScaleCrop>
  <Company>Universitetet i Oslo</Company>
  <LinksUpToDate>false</LinksUpToDate>
  <CharactersWithSpaces>55249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jolano</dc:creator>
  <cp:lastModifiedBy>Nilam Shakeel</cp:lastModifiedBy>
  <cp:revision>8</cp:revision>
  <dcterms:created xsi:type="dcterms:W3CDTF">2015-01-13T10:18:00Z</dcterms:created>
  <dcterms:modified xsi:type="dcterms:W3CDTF">2015-01-13T11:20:00Z</dcterms:modified>
</cp:coreProperties>
</file>